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8A5A00"/>
          <w:sz w:val="18"/>
          <w:szCs w:val="18"/>
        </w:rPr>
        <w:t xml:space="preserve">ROBO-SCÈNE 2026 · GUIDE TECHNIQUE</w:t>
      </w:r>
    </w:p>
    <w:p>
      <w:pPr>
        <w:spacing w:after="100"/>
      </w:pPr>
      <w:r>
        <w:rPr>
          <w:rFonts w:ascii="Cambria" w:cs="Cambria" w:eastAsia="Cambria" w:hAnsi="Cambria"/>
          <w:b/>
          <w:bCs/>
          <w:color w:val="1F2B3A"/>
          <w:sz w:val="36"/>
          <w:szCs w:val="36"/>
        </w:rPr>
        <w:t xml:space="preserve">Guide des mains à cinq doigts du robot virtuel</w:t>
      </w:r>
    </w:p>
    <w:p>
      <w:pPr>
        <w:spacing w:after="120" w:line="288"/>
        <w:jc w:val="both"/>
      </w:pPr>
      <w:r>
        <w:rPr>
          <w:rFonts w:ascii="Cambria" w:cs="Cambria" w:eastAsia="Cambria" w:hAnsi="Cambria"/>
          <w:b/>
          <w:bCs/>
          <w:sz w:val="22"/>
          <w:szCs w:val="22"/>
        </w:rPr>
        <w:t xml:space="preserve">Auteur : </w:t>
      </w:r>
      <w:r>
        <w:rPr>
          <w:rFonts w:ascii="Cambria" w:cs="Cambria" w:eastAsia="Cambria" w:hAnsi="Cambria"/>
          <w:sz w:val="22"/>
          <w:szCs w:val="22"/>
        </w:rPr>
        <w:t xml:space="preserve">Sylvain Gagné, Ph. D., chercheur indépendant non affilié et autofinancé (IA, robotique et théâtre)</w:t>
      </w:r>
    </w:p>
    <w:p>
      <w:pPr>
        <w:spacing w:after="120" w:line="288"/>
        <w:jc w:val="both"/>
      </w:pPr>
      <w:r>
        <w:rPr>
          <w:rFonts w:ascii="Cambria" w:cs="Cambria" w:eastAsia="Cambria" w:hAnsi="Cambria"/>
          <w:b/>
          <w:bCs/>
          <w:sz w:val="22"/>
          <w:szCs w:val="22"/>
        </w:rPr>
        <w:t xml:space="preserve">Version et date : </w:t>
      </w:r>
      <w:r>
        <w:rPr>
          <w:rFonts w:ascii="Cambria" w:cs="Cambria" w:eastAsia="Cambria" w:hAnsi="Cambria"/>
          <w:sz w:val="22"/>
          <w:szCs w:val="22"/>
        </w:rPr>
        <w:t xml:space="preserve">1.0 — 25 octobre 2026 (code au commit e1015e9)</w:t>
      </w:r>
    </w:p>
    <w:p>
      <w:pPr>
        <w:spacing w:after="120" w:line="288"/>
        <w:jc w:val="both"/>
      </w:pPr>
      <w:r>
        <w:rPr>
          <w:rFonts w:ascii="Cambria" w:cs="Cambria" w:eastAsia="Cambria" w:hAnsi="Cambria"/>
          <w:b/>
          <w:bCs/>
          <w:sz w:val="22"/>
          <w:szCs w:val="22"/>
        </w:rPr>
        <w:t xml:space="preserve">Objet : </w:t>
      </w:r>
      <w:r>
        <w:rPr>
          <w:rFonts w:ascii="Cambria" w:cs="Cambria" w:eastAsia="Cambria" w:hAnsi="Cambria"/>
          <w:sz w:val="22"/>
          <w:szCs w:val="22"/>
        </w:rPr>
        <w:t xml:space="preserve">ce guide décrit les deux mains à cinq doigts ajoutées au robot virtuel de la plateforme ROBO-SCÈNE à la demande du 25 octobre 2026 : leur anatomie, la boucle qui relie la perception, la force et le mouvement, les postures, les prises, les accessoires, le toucher, les commandes écrites et vocales, l'onglet « Mains » de la page Robot virtuel, le lien avec la pince du TonyPi Pro, les validations et les limites. Toutes les valeurs des tableaux sont produites par le code lui-même (fichier web/avatar/mains.js), au moment de la génération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F" w:sz="4"/>
              <w:left w:val="single" w:color="B8C2CF" w:sz="4"/>
              <w:bottom w:val="single" w:color="B8C2CF" w:sz="4"/>
              <w:right w:val="single" w:color="B8C2CF" w:sz="4"/>
            </w:tcBorders>
            <w:shd w:fill="EEF2F6" w:color="auto" w:val="clear"/>
            <w:tcMar>
              <w:top w:type="dxa" w:w="120"/>
              <w:left w:type="dxa" w:w="160"/>
              <w:bottom w:type="dxa" w:w="120"/>
              <w:right w:type="dxa" w:w="160"/>
            </w:tcMar>
          </w:tcPr>
          <w:p>
            <w:pPr>
              <w:spacing w:after="100"/>
            </w:pPr>
            <w:r>
              <w:rPr>
                <w:rFonts w:ascii="Cambria" w:cs="Cambria" w:eastAsia="Cambria" w:hAnsi="Cambria"/>
                <w:b/>
                <w:bCs/>
                <w:color w:val="8A5A00"/>
                <w:sz w:val="22"/>
                <w:szCs w:val="22"/>
              </w:rPr>
              <w:t xml:space="preserve">Convention de lecture</w:t>
            </w:r>
          </w:p>
          <w:p>
            <w:pPr>
              <w:spacing w:after="100" w:line="276"/>
              <w:jc w:val="both"/>
            </w:pPr>
            <w:r>
              <w:rPr>
                <w:rFonts w:ascii="Cambria" w:cs="Cambria" w:eastAsia="Cambria" w:hAnsi="Cambria"/>
                <w:sz w:val="20"/>
                <w:szCs w:val="20"/>
              </w:rPr>
              <w:t xml:space="preserve">Les affirmations appuyées sur la littérature portent une citation entre parenthèses (norme MLA, 9e édition) ; les ouvrages cités figurent à la fin. Les valeurs de conception, plausibles mais non mesurées sur un humain, sont signalées par la mention (Inférence) ; elles se règlent dans le code.</w:t>
            </w:r>
          </w:p>
          <w:p>
            <w:pPr>
              <w:spacing w:after="100" w:line="276"/>
              <w:jc w:val="both"/>
            </w:pPr>
            <w:r>
              <w:rPr>
                <w:rFonts w:ascii="Cambria" w:cs="Cambria" w:eastAsia="Cambria" w:hAnsi="Cambria"/>
                <w:sz w:val="20"/>
                <w:szCs w:val="20"/>
              </w:rPr>
              <w:t xml:space="preserve">Repère canonique de la main, identique pour les deux mains : u vers la paume, d vers le bout des doigts, w vers le pouce. La main droite est l'image miroir de la gauche au rendu. Angles en degrés, flexion positive vers la paume ; forces en newtons (N), pressions en kilopascals (kPa).</w:t>
            </w:r>
          </w:p>
        </w:tc>
      </w:tr>
    </w:tbl>
    <w:p>
      <w:pPr>
        <w:spacing w:after="120"/>
      </w:pPr>
    </w:p>
    <w:p>
      <w:pPr>
        <w:pStyle w:val="Heading1"/>
        <w:keepNext/>
        <w:spacing w:after="120" w:before="280"/>
      </w:pPr>
      <w:r>
        <w:rPr>
          <w:rFonts w:ascii="Cambria" w:cs="Cambria" w:eastAsia="Cambria" w:hAnsi="Cambria"/>
          <w:b/>
          <w:bCs/>
          <w:color w:val="1F2B3A"/>
          <w:sz w:val="28"/>
          <w:szCs w:val="28"/>
        </w:rPr>
        <w:t xml:space="preserve">1. Portée et choix de conception</w:t>
      </w:r>
    </w:p>
    <w:p>
      <w:pPr>
        <w:spacing w:after="120" w:line="288"/>
        <w:jc w:val="both"/>
      </w:pPr>
      <w:r>
        <w:rPr>
          <w:rFonts w:ascii="Cambria" w:cs="Cambria" w:eastAsia="Cambria" w:hAnsi="Cambria"/>
          <w:sz w:val="22"/>
          <w:szCs w:val="22"/>
        </w:rPr>
        <w:t xml:space="preserve">Les choix de portée ont été arrêtés avec le chercheur avant l'écriture du code : la main est d'abord celle du robot virtuel (le TonyPi Pro réel ne possède qu'une pince à un degré de liberté, qui reçoit la fermeture globale de la main) ; les objets manipulés sont des accessoires de scène, le corps propre du robot et un partenaire de jeu ; la perception est un toucher simulé (capteurs sur les phalanges et la paume, carte de pression) ; la commande passe par la voix et l'écrit, comme le reste du robot.</w:t>
      </w:r>
    </w:p>
    <w:p>
      <w:pPr>
        <w:spacing w:after="120" w:line="288"/>
        <w:jc w:val="both"/>
      </w:pPr>
      <w:r>
        <w:rPr>
          <w:rFonts w:ascii="Cambria" w:cs="Cambria" w:eastAsia="Cambria" w:hAnsi="Cambria"/>
          <w:sz w:val="22"/>
          <w:szCs w:val="22"/>
        </w:rPr>
        <w:t xml:space="preserve">Le module est pur (sans dépendance au navigateur ni au moteur 3D) et testé sous Node ; le rendu (humanoide.js), la boucle d'animation (animation.js), l'interprète des consignes (directives.js), la page (app.js, avatar.html) et la validation du pont (bridge/partenaire/avatar.py) s'y branchent.</w:t>
      </w:r>
    </w:p>
    <w:p>
      <w:pPr>
        <w:pStyle w:val="Heading1"/>
        <w:keepNext/>
        <w:spacing w:after="120" w:before="280"/>
      </w:pPr>
      <w:r>
        <w:rPr>
          <w:rFonts w:ascii="Cambria" w:cs="Cambria" w:eastAsia="Cambria" w:hAnsi="Cambria"/>
          <w:b/>
          <w:bCs/>
          <w:color w:val="1F2B3A"/>
          <w:sz w:val="28"/>
          <w:szCs w:val="28"/>
        </w:rPr>
        <w:t xml:space="preserve">2. Fondements</w:t>
      </w:r>
    </w:p>
    <w:p>
      <w:pPr>
        <w:spacing w:after="120" w:line="288"/>
        <w:jc w:val="both"/>
      </w:pPr>
      <w:r>
        <w:rPr>
          <w:rFonts w:ascii="Cambria" w:cs="Cambria" w:eastAsia="Cambria" w:hAnsi="Cambria"/>
          <w:sz w:val="22"/>
          <w:szCs w:val="22"/>
        </w:rPr>
        <w:t xml:space="preserve">Quatre résultats de la littérature structurent le modèle. Le contrôle de la préhension règle la force de serrage sur le poids de l'objet et sur le frottement entre la peau et sa surface, avec une marge de sécurité propre à chaque personne (Westling et Johansson 277-84). Un glissement détecté par les afférences tactiles des doigts déclenche une hausse de la force de serrage après une latence de 74 ± 9 ms (Johansson et Westling 141-54). Les prises humaines se classent en 33 types, regroupés selon la puissance, l'opposition (pulpe, paume, côté) et la position du pouce (Feix et al. 66-77). En animation, l'angle de la dernière articulation d'un doigt peut être lié à celui de l'avant-dernière par la relation q4 = 2/3 q3, mesurée sur plusieurs sujets (Rijpkema et Girard 339-48).</w:t>
      </w:r>
    </w:p>
    <w:p>
      <w:pPr>
        <w:spacing w:after="120" w:line="288"/>
        <w:jc w:val="both"/>
      </w:pPr>
      <w:r>
        <w:rPr>
          <w:rFonts w:ascii="Cambria" w:cs="Cambria" w:eastAsia="Cambria" w:hAnsi="Cambria"/>
          <w:sz w:val="22"/>
          <w:szCs w:val="22"/>
        </w:rPr>
        <w:t xml:space="preserve">Deux résultats complètent ce socle. Un doigt qui produit une force entraîne involontairement ses voisins, effet nommé « asservissement » (enslaving) et plus marqué entre doigts voisins (Zatsiorsky et al. 187-95) ; les postures de la main pour saisir 57 objets imaginés se résument largement à deux composantes principales, qui expliquent plus de 80 % de la variance (Santello et al. 10105-15). Le modèle n'implante pas ces synergies comme telles ; il en retient la coordination entre doigts, par l'asservissement et par des postures prédéfinies.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60"/>
        <w:gridCol w:w="2100"/>
      </w:tblGrid>
      <w:tr>
        <w:trPr>
          <w:cantSplit/>
          <w:tblHeader/>
        </w:trPr>
        <w:tc>
          <w:tcPr>
            <w:tcW w:type="dxa" w:w="27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Principe</w:t>
            </w:r>
          </w:p>
        </w:tc>
        <w:tc>
          <w:tcPr>
            <w:tcW w:type="dxa" w:w="4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Mise en œuvre dans le code</w:t>
            </w:r>
          </w:p>
        </w:tc>
        <w:tc>
          <w:tcPr>
            <w:tcW w:type="dxa" w:w="21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Source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Force de serrage réglée sur la charge et le frottement, avec marge</w:t>
            </w:r>
          </w:p>
        </w:tc>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 ≥ m (g + a) / (2 μ), multipliée par (1 + marge de la manière), plafonnée sous le seuil de dommage de l'objet</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Westling et Johansson</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Réflexe de glissement</w:t>
            </w:r>
          </w:p>
        </w:tc>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marge relevée de 60 % (Inférence) 74 ms après le début du glissement</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Johansson et Westling</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Types de prise</w:t>
            </w:r>
          </w:p>
        </w:tc>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 prises : cylindrique, sphérique, crochet, pince fine, tripode, latérale, palmaire, poignée de main</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Feix et al.</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Couplage IPD-IPP</w:t>
            </w:r>
          </w:p>
        </w:tc>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IPD = 2/3 IPP dans toutes les postures, sauf si la phalange distale touche l'objet</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Rijpkema et Girard</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Asservissement des doigts voisins</w:t>
            </w:r>
          </w:p>
        </w:tc>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coefficients 0,06 (index-majeur) et 0,12 (majeur-annulaire, annulaire-auriculaire) (Inférence : réduits pour garder la posture lisible)</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Zatsiorsky et al.</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Amplitudes articulaires</w:t>
            </w:r>
          </w:p>
        </w:tc>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bornes de chaque articulation (section 3)</w:t>
            </w:r>
          </w:p>
        </w:tc>
        <w:tc>
          <w:tcPr>
            <w:tcW w:type="dxa" w:w="2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Eaton ; Physiotutors</w:t>
            </w:r>
          </w:p>
        </w:tc>
      </w:tr>
    </w:tbl>
    <w:p>
      <w:pPr>
        <w:spacing w:after="60"/>
      </w:pPr>
    </w:p>
    <w:p>
      <w:pPr>
        <w:pStyle w:val="Heading1"/>
        <w:keepNext/>
        <w:spacing w:after="120" w:before="280"/>
      </w:pPr>
      <w:r>
        <w:rPr>
          <w:rFonts w:ascii="Cambria" w:cs="Cambria" w:eastAsia="Cambria" w:hAnsi="Cambria"/>
          <w:b/>
          <w:bCs/>
          <w:color w:val="1F2B3A"/>
          <w:sz w:val="28"/>
          <w:szCs w:val="28"/>
        </w:rPr>
        <w:t xml:space="preserve">3. Anatomie de la main virtuelle</w:t>
      </w:r>
    </w:p>
    <w:p>
      <w:pPr>
        <w:spacing w:after="120" w:line="288"/>
        <w:jc w:val="both"/>
      </w:pPr>
      <w:r>
        <w:rPr>
          <w:rFonts w:ascii="Cambria" w:cs="Cambria" w:eastAsia="Cambria" w:hAnsi="Cambria"/>
          <w:sz w:val="22"/>
          <w:szCs w:val="22"/>
        </w:rPr>
        <w:t xml:space="preserve">Chaque main compte 20 articulations commandées : quatre par doigt long (métacarpo-phalangienne, écartement, interphalangiennes proximale et distale) et quatre au pouce (opposition et abduction de la trapézo-métacarpienne, métacarpo-phalangienne, interphalangienne). Les phalanges sont des capsules de 8,2 mm de rayon (contact) ; la paume mesure 8,8 × 7,4 × 2,8 cm. Les bornes reprennent les valeurs cliniques usuelles : flexion métacarpo-phalangienne de 85 à 90°, interphalangienne proximale de 100 à 115°, distale de 80 à 90°, écartement de 20 à 30° ; pouce : métacarpo-phalangienne de 50 à 55°, interphalangienne de 80 à 90° (Physiotutors ; « Normal Range of Motion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cantSplit/>
          <w:tblHeader/>
        </w:trPr>
        <w:tc>
          <w:tcPr>
            <w:tcW w:type="dxa" w:w="4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Articulation</w:t>
            </w:r>
          </w:p>
        </w:tc>
        <w:tc>
          <w:tcPr>
            <w:tcW w:type="dxa" w:w="16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Minimum</w:t>
            </w:r>
          </w:p>
        </w:tc>
        <w:tc>
          <w:tcPr>
            <w:tcW w:type="dxa" w:w="16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Maximum</w:t>
            </w:r>
          </w:p>
        </w:tc>
        <w:tc>
          <w:tcPr>
            <w:tcW w:type="dxa" w:w="16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Repos</w:t>
            </w:r>
          </w:p>
        </w:tc>
      </w:tr>
      <w:tr>
        <w:trPr>
          <w:cantSplit/>
        </w:trPr>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 opposition (trapézo-métacarpienne)</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w:t>
            </w:r>
          </w:p>
        </w:tc>
      </w:tr>
      <w:tr>
        <w:trPr>
          <w:cantSplit/>
        </w:trPr>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 abduction palmaire</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22°</w:t>
            </w:r>
          </w:p>
        </w:tc>
      </w:tr>
      <w:tr>
        <w:trPr>
          <w:cantSplit/>
        </w:trPr>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 métacarpo-phalangienne</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55°</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r>
      <w:tr>
        <w:trPr>
          <w:cantSplit/>
        </w:trPr>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 interphalangienne</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r>
      <w:tr>
        <w:trPr>
          <w:cantSplit/>
        </w:trPr>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 métacarpo-phalangienne</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14°</w:t>
            </w:r>
          </w:p>
        </w:tc>
      </w:tr>
      <w:tr>
        <w:trPr>
          <w:cantSplit/>
        </w:trPr>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 écartement</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r>
      <w:tr>
        <w:trPr>
          <w:cantSplit/>
        </w:trPr>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 interphalangienne proximale</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105°</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w:t>
            </w:r>
          </w:p>
        </w:tc>
      </w:tr>
      <w:tr>
        <w:trPr>
          <w:cantSplit/>
        </w:trPr>
        <w:tc>
          <w:tcPr>
            <w:tcW w:type="dxa" w:w="4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 interphalangienne distale</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80°</w:t>
            </w:r>
          </w:p>
        </w:tc>
        <w:tc>
          <w:tcPr>
            <w:tcW w:type="dxa" w:w="1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r>
    </w:tbl>
    <w:p>
      <w:pPr>
        <w:spacing w:after="60"/>
      </w:pPr>
    </w:p>
    <w:p>
      <w:pPr>
        <w:spacing w:after="120" w:line="288"/>
        <w:jc w:val="both"/>
      </w:pPr>
      <w:r>
        <w:rPr>
          <w:rFonts w:ascii="Cambria" w:cs="Cambria" w:eastAsia="Cambria" w:hAnsi="Cambria"/>
          <w:sz w:val="22"/>
          <w:szCs w:val="22"/>
        </w:rPr>
        <w:t xml:space="preserve">Le majeur, l'annulaire et l'auriculaire ont les mêmes bornes que l'index ; leurs angles de repos croissent vers l'auriculaire, comme dans une main relâchée. Les longueurs des phalanges (index 40, 23 et 19 mm ; majeur 44, 27 et 20 mm ; pouce 46, 33 et 27 mm) sont des valeurs de conception à l'échelle d'un adulte (Inférence). Le poignet (déviation) et l'avant-bras (pronation) sont déclarés dans le module mais ne sont pas encore reliés au rendu.</w:t>
      </w:r>
    </w:p>
    <w:p>
      <w:pPr>
        <w:pStyle w:val="Heading1"/>
        <w:keepNext/>
        <w:spacing w:after="120" w:before="280"/>
      </w:pPr>
      <w:r>
        <w:rPr>
          <w:rFonts w:ascii="Cambria" w:cs="Cambria" w:eastAsia="Cambria" w:hAnsi="Cambria"/>
          <w:b/>
          <w:bCs/>
          <w:color w:val="1F2B3A"/>
          <w:sz w:val="28"/>
          <w:szCs w:val="28"/>
        </w:rPr>
        <w:t xml:space="preserve">4. La boucle perception-force-mouvement</w:t>
      </w:r>
    </w:p>
    <w:p>
      <w:pPr>
        <w:spacing w:after="120" w:line="288"/>
        <w:jc w:val="both"/>
      </w:pPr>
      <w:r>
        <w:rPr>
          <w:rFonts w:ascii="Cambria" w:cs="Cambria" w:eastAsia="Cambria" w:hAnsi="Cambria"/>
          <w:sz w:val="22"/>
          <w:szCs w:val="22"/>
        </w:rPr>
        <w:t xml:space="preserve">À chaque image (environ 60 par seconde), chaque main exécute trois étapes dans cet ordre.</w:t>
      </w:r>
    </w:p>
    <w:p>
      <w:pPr>
        <w:pStyle w:val="ListParagraph"/>
        <w:numPr>
          <w:ilvl w:val="0"/>
          <w:numId w:val="2"/>
        </w:numPr>
        <w:spacing w:after="60" w:line="288"/>
        <w:jc w:val="both"/>
      </w:pPr>
      <w:r>
        <w:rPr>
          <w:rFonts w:ascii="Cambria" w:cs="Cambria" w:eastAsia="Cambria" w:hAnsi="Cambria"/>
          <w:b/>
          <w:bCs/>
          <w:sz w:val="22"/>
          <w:szCs w:val="22"/>
        </w:rPr>
        <w:t xml:space="preserve">Mouvement. </w:t>
      </w:r>
      <w:r>
        <w:rPr>
          <w:rFonts w:ascii="Cambria" w:cs="Cambria" w:eastAsia="Cambria" w:hAnsi="Cambria"/>
          <w:sz w:val="22"/>
          <w:szCs w:val="22"/>
        </w:rPr>
        <w:t xml:space="preserve">Chaque articulation suit sa cible par un premier ordre (constante de temps 80 ms) à vitesse bornée (300°/s, ralentie par une manière délicate) ; l'asservissement entraîne ensuite les doigts voisins d'une fraction de l'écart. (Inférence) Ces constantes sont des valeurs de conception.</w:t>
      </w:r>
    </w:p>
    <w:p>
      <w:pPr>
        <w:pStyle w:val="ListParagraph"/>
        <w:numPr>
          <w:ilvl w:val="0"/>
          <w:numId w:val="2"/>
        </w:numPr>
        <w:spacing w:after="60" w:line="288"/>
        <w:jc w:val="both"/>
      </w:pPr>
      <w:r>
        <w:rPr>
          <w:rFonts w:ascii="Cambria" w:cs="Cambria" w:eastAsia="Cambria" w:hAnsi="Cambria"/>
          <w:b/>
          <w:bCs/>
          <w:sz w:val="22"/>
          <w:szCs w:val="22"/>
        </w:rPr>
        <w:t xml:space="preserve">Perception. </w:t>
      </w:r>
      <w:r>
        <w:rPr>
          <w:rFonts w:ascii="Cambria" w:cs="Cambria" w:eastAsia="Cambria" w:hAnsi="Cambria"/>
          <w:sz w:val="22"/>
          <w:szCs w:val="22"/>
        </w:rPr>
        <w:t xml:space="preserve">Dix capteurs par main (cinq pulpes, quatre phalanges moyennes, la paume) mesurent le contact, la force normale, la pression (force divisée par l'aire de contact) et le glissement.</w:t>
      </w:r>
    </w:p>
    <w:p>
      <w:pPr>
        <w:pStyle w:val="ListParagraph"/>
        <w:numPr>
          <w:ilvl w:val="0"/>
          <w:numId w:val="2"/>
        </w:numPr>
        <w:spacing w:after="60" w:line="288"/>
        <w:jc w:val="both"/>
      </w:pPr>
      <w:r>
        <w:rPr>
          <w:rFonts w:ascii="Cambria" w:cs="Cambria" w:eastAsia="Cambria" w:hAnsi="Cambria"/>
          <w:b/>
          <w:bCs/>
          <w:sz w:val="22"/>
          <w:szCs w:val="22"/>
        </w:rPr>
        <w:t xml:space="preserve">Force. </w:t>
      </w:r>
      <w:r>
        <w:rPr>
          <w:rFonts w:ascii="Cambria" w:cs="Cambria" w:eastAsia="Cambria" w:hAnsi="Cambria"/>
          <w:sz w:val="22"/>
          <w:szCs w:val="22"/>
        </w:rPr>
        <w:t xml:space="preserve">Pendant une prise, la force commandée monte vers la force voulue (constante de temps 100 ms) dès que les doigts ont atteint le contact ; le frottement disponible (2 μ N) est comparé à la charge ; si la charge l'emporte, l'objet glisse, le glissement est senti et le serrage est relevé après la latence humaine.</w:t>
      </w:r>
    </w:p>
    <w:p>
      <w:pPr>
        <w:spacing w:after="120" w:line="288"/>
        <w:jc w:val="both"/>
      </w:pPr>
      <w:r>
        <w:rPr>
          <w:rFonts w:ascii="Cambria" w:cs="Cambria" w:eastAsia="Cambria" w:hAnsi="Cambria"/>
          <w:sz w:val="22"/>
          <w:szCs w:val="22"/>
        </w:rPr>
        <w:t xml:space="preserve">La charge comprend le poids et l'accélération verticale de la main, que l'animateur estime à partir du mouvement du bras (différence seconde lissée) : un bras levé vivement demande plus de force. Cette part est anticipée, la force la suivant en parallèle. Une charge imprévue, par exemple un partenaire qui tire sur l'objet, n'est compensée que par le réflexe de glissement.</w:t>
      </w:r>
    </w:p>
    <w:p>
      <w:pPr>
        <w:pStyle w:val="Heading2"/>
        <w:keepNext/>
        <w:spacing w:after="100" w:before="220"/>
      </w:pPr>
      <w:r>
        <w:rPr>
          <w:rFonts w:ascii="Cambria" w:cs="Cambria" w:eastAsia="Cambria" w:hAnsi="Cambria"/>
          <w:b/>
          <w:bCs/>
          <w:color w:val="1F2B3A"/>
          <w:sz w:val="24"/>
          <w:szCs w:val="24"/>
        </w:rPr>
        <w:t xml:space="preserve">4.1 Fermeture jusqu'au contact</w:t>
      </w:r>
    </w:p>
    <w:p>
      <w:pPr>
        <w:spacing w:after="120" w:line="288"/>
        <w:jc w:val="both"/>
      </w:pPr>
      <w:r>
        <w:rPr>
          <w:rFonts w:ascii="Cambria" w:cs="Cambria" w:eastAsia="Cambria" w:hAnsi="Cambria"/>
          <w:sz w:val="22"/>
          <w:szCs w:val="22"/>
        </w:rPr>
        <w:t xml:space="preserve">Les contacts ne sont pas posés à la main : chaque doigt long passe de la posture de départ de la prise à sa posture de fermeture, articulation par articulation ; dès qu'une phalange touche la surface de l'objet (distance signée nulle entre la capsule et la forme), les articulations situées en amont s'arrêtent et les suivantes continuent, de sorte que le doigt s'enroule autour de l'objet. Le pouce est placé par cinématique inverse : une recherche minimise à la fois la pénétration du pouce dans l'objet et l'écart entre sa pulpe et la surface, en préférant un point d'appui opposé aux doigts.</w:t>
      </w:r>
    </w:p>
    <w:p>
      <w:pPr>
        <w:pStyle w:val="Heading2"/>
        <w:keepNext/>
        <w:spacing w:after="100" w:before="220"/>
      </w:pPr>
      <w:r>
        <w:rPr>
          <w:rFonts w:ascii="Cambria" w:cs="Cambria" w:eastAsia="Cambria" w:hAnsi="Cambria"/>
          <w:b/>
          <w:bCs/>
          <w:color w:val="1F2B3A"/>
          <w:sz w:val="24"/>
          <w:szCs w:val="24"/>
        </w:rPr>
        <w:t xml:space="preserve">4.2 Glissement et réflexe : mesure sur le modèle</w:t>
      </w:r>
    </w:p>
    <w:p>
      <w:pPr>
        <w:spacing w:after="120" w:line="288"/>
        <w:jc w:val="both"/>
      </w:pPr>
      <w:r>
        <w:rPr>
          <w:rFonts w:ascii="Cambria" w:cs="Cambria" w:eastAsia="Cambria" w:hAnsi="Cambria"/>
          <w:sz w:val="22"/>
          <w:szCs w:val="22"/>
        </w:rPr>
        <w:t xml:space="preserve">Essai : le verre est tenu normalement (force établie de 3,06 N), puis une traction imprévue de 2 N s'ajoute. Le glissement commence à t = 0,805 s ; le serrage est relevé à t = 0,88 s, soit 75 ms plus tard ; la force atteint 4,16 N et le verre reste dans la main. Avec une traction de 40 N sur l'épée tenue délicatement, le réflexe ne suffit pas : « L'épée échappe à la main (on la lui arrache) ».</w:t>
      </w:r>
    </w:p>
    <w:p>
      <w:pPr>
        <w:pStyle w:val="Heading1"/>
        <w:keepNext/>
        <w:spacing w:after="120" w:before="280"/>
      </w:pPr>
      <w:r>
        <w:rPr>
          <w:rFonts w:ascii="Cambria" w:cs="Cambria" w:eastAsia="Cambria" w:hAnsi="Cambria"/>
          <w:b/>
          <w:bCs/>
          <w:color w:val="1F2B3A"/>
          <w:sz w:val="28"/>
          <w:szCs w:val="28"/>
        </w:rPr>
        <w:t xml:space="preserve">5. Manières de serrer</w:t>
      </w:r>
    </w:p>
    <w:p>
      <w:pPr>
        <w:spacing w:after="120" w:line="288"/>
        <w:jc w:val="both"/>
      </w:pPr>
      <w:r>
        <w:rPr>
          <w:rFonts w:ascii="Cambria" w:cs="Cambria" w:eastAsia="Cambria" w:hAnsi="Cambria"/>
          <w:sz w:val="22"/>
          <w:szCs w:val="22"/>
        </w:rPr>
        <w:t xml:space="preserve">La manière fixe la marge au-dessus de la force minimale, un plancher (force minimale de contact), un plafond exprimé en fraction du seuil de dommage de l'objet, et la vitesse des doigts. (Inférence) Ces valeurs sont des choix de conception, réglables.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2560"/>
        <w:gridCol w:w="1500"/>
      </w:tblGrid>
      <w:tr>
        <w:trPr>
          <w:cantSplit/>
          <w:tblHeader/>
        </w:trPr>
        <w:tc>
          <w:tcPr>
            <w:tcW w:type="dxa" w:w="23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Manière</w:t>
            </w:r>
          </w:p>
        </w:tc>
        <w:tc>
          <w:tcPr>
            <w:tcW w:type="dxa" w:w="15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Marge</w:t>
            </w:r>
          </w:p>
        </w:tc>
        <w:tc>
          <w:tcPr>
            <w:tcW w:type="dxa" w:w="15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Plancher</w:t>
            </w:r>
          </w:p>
        </w:tc>
        <w:tc>
          <w:tcPr>
            <w:tcW w:type="dxa" w:w="2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Plafond (× seuil de dommage)</w:t>
            </w:r>
          </w:p>
        </w:tc>
        <w:tc>
          <w:tcPr>
            <w:tcW w:type="dxa" w:w="15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Vitesse</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effleurement</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+ 0 %</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N</w:t>
            </w:r>
          </w:p>
        </w:tc>
        <w:tc>
          <w:tcPr>
            <w:tcW w:type="dxa" w:w="2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0,05</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0,5</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délicatement</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+ 20 %</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0,4 N</w:t>
            </w:r>
          </w:p>
        </w:tc>
        <w:tc>
          <w:tcPr>
            <w:tcW w:type="dxa" w:w="2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0,6</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normalement</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+ 50 %</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N</w:t>
            </w:r>
          </w:p>
        </w:tc>
        <w:tc>
          <w:tcPr>
            <w:tcW w:type="dxa" w:w="2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fermement</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+ 100 %</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 N</w:t>
            </w:r>
          </w:p>
        </w:tc>
        <w:tc>
          <w:tcPr>
            <w:tcW w:type="dxa" w:w="2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1,2</w:t>
            </w:r>
          </w:p>
        </w:tc>
      </w:tr>
      <w:tr>
        <w:trPr>
          <w:cantSplit/>
        </w:trPr>
        <w:tc>
          <w:tcPr>
            <w:tcW w:type="dxa" w:w="2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 toutes ses forces</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+ 300 %</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30 N</w:t>
            </w:r>
          </w:p>
        </w:tc>
        <w:tc>
          <w:tcPr>
            <w:tcW w:type="dxa" w:w="2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aucun</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1,4</w:t>
            </w:r>
          </w:p>
        </w:tc>
      </w:tr>
    </w:tbl>
    <w:p>
      <w:pPr>
        <w:spacing w:after="60"/>
      </w:pPr>
    </w:p>
    <w:p>
      <w:pPr>
        <w:spacing w:after="120" w:line="288"/>
        <w:jc w:val="both"/>
      </w:pPr>
      <w:r>
        <w:rPr>
          <w:rFonts w:ascii="Cambria" w:cs="Cambria" w:eastAsia="Cambria" w:hAnsi="Cambria"/>
          <w:sz w:val="22"/>
          <w:szCs w:val="22"/>
        </w:rPr>
        <w:t xml:space="preserve">Mesure sur le verre (0,25 kg, μ = 0,6) : délicatement, 2,45 N ; normalement, 3,07 N ; fermement, 4,09 N, pour une force minimale de 2,04 N. L'intention change la règle : « froisse la lettre » lève le plafond, la force monte à 30 N et le journal annonce « La lettre se froisse ». Sans intention, même « de toutes tes forces » ne dépasse pas la force maximale de la main (300 N, Inférence).</w:t>
      </w:r>
    </w:p>
    <w:p>
      <w:pPr>
        <w:pStyle w:val="Heading1"/>
        <w:keepNext/>
        <w:spacing w:after="120" w:before="280"/>
      </w:pPr>
      <w:r>
        <w:rPr>
          <w:rFonts w:ascii="Cambria" w:cs="Cambria" w:eastAsia="Cambria" w:hAnsi="Cambria"/>
          <w:b/>
          <w:bCs/>
          <w:color w:val="1F2B3A"/>
          <w:sz w:val="28"/>
          <w:szCs w:val="28"/>
        </w:rPr>
        <w:t xml:space="preserve">6. Postures des doigts</w:t>
      </w:r>
    </w:p>
    <w:p>
      <w:pPr>
        <w:spacing w:after="120" w:line="288"/>
        <w:jc w:val="both"/>
      </w:pPr>
      <w:r>
        <w:rPr>
          <w:rFonts w:ascii="Cambria" w:cs="Cambria" w:eastAsia="Cambria" w:hAnsi="Cambria"/>
          <w:sz w:val="22"/>
          <w:szCs w:val="22"/>
        </w:rPr>
        <w:t xml:space="preserve">Les postures donnent la position de chaque doigt (métacarpo-phalangienne, écartement, interphalangienne proximale ; la distale suit les deux tiers de la proximale) et celle du pouce. Elles se commandent par la voix, l'écrit ou le menu de l'onglet « Mains » ; un geste du corps rend la main aux gestes, sauf si la même consigne a commandé la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80"/>
        <w:gridCol w:w="1380"/>
        <w:gridCol w:w="1380"/>
        <w:gridCol w:w="1380"/>
        <w:gridCol w:w="1380"/>
      </w:tblGrid>
      <w:tr>
        <w:trPr>
          <w:cantSplit/>
          <w:tblHeader/>
        </w:trPr>
        <w:tc>
          <w:tcPr>
            <w:tcW w:type="dxa" w:w="24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Posture</w:t>
            </w:r>
          </w:p>
        </w:tc>
        <w:tc>
          <w:tcPr>
            <w:tcW w:type="dxa" w:w="13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Index (MCP / IPP)</w:t>
            </w:r>
          </w:p>
        </w:tc>
        <w:tc>
          <w:tcPr>
            <w:tcW w:type="dxa" w:w="13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Majeur</w:t>
            </w:r>
          </w:p>
        </w:tc>
        <w:tc>
          <w:tcPr>
            <w:tcW w:type="dxa" w:w="13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Annulaire</w:t>
            </w:r>
          </w:p>
        </w:tc>
        <w:tc>
          <w:tcPr>
            <w:tcW w:type="dxa" w:w="13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Auriculaire</w:t>
            </w:r>
          </w:p>
        </w:tc>
        <w:tc>
          <w:tcPr>
            <w:tcW w:type="dxa" w:w="13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Pouce (opp. / abd.)</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au repos</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14° / 18°</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 / 22°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22° / 26°</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26° / 30°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 / 22°</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ouverte</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4°</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4°</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4°</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4°</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30°</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doigts écartés</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 / 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 / 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 / 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 / 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 / 45°</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fermé</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42° / 8°</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pointé</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 / 10°</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levé</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 / 35°</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baissé</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 / 35°</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signe « OK » (pouce et index en anneau)</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55° / 70°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 / 8°</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 / 10°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 / 12°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38° / 40°</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 de la victoire</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 / 10°</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pince pouce-index</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42° / 45°</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 / 70°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70° / 80°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75° / 85°</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30° / 38°</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prise en clé (index à demi replié)</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50° / 40°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80° / 95°</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12°</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en coupe</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 30°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 32°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 32°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 32°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 / 15°</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en griffe</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 / 90°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 / 90°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 / 90°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 / 90°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 / 30°</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un doigt</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 / 10°</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doigts</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 / 10°</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trois doigts</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85° / 100°</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 / 10°</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quatre doigts</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 / 12°</w:t>
            </w:r>
          </w:p>
        </w:tc>
      </w:tr>
      <w:tr>
        <w:trPr>
          <w:cantSplit/>
        </w:trPr>
        <w:tc>
          <w:tcPr>
            <w:tcW w:type="dxa" w:w="2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cinq doigts</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2°</w:t>
            </w:r>
          </w:p>
        </w:tc>
        <w:tc>
          <w:tcPr>
            <w:tcW w:type="dxa" w:w="13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 / 45°</w:t>
            </w:r>
          </w:p>
        </w:tc>
      </w:tr>
    </w:tbl>
    <w:p>
      <w:pPr>
        <w:spacing w:after="60"/>
      </w:pPr>
    </w:p>
    <w:p>
      <w:pPr>
        <w:spacing w:after="120" w:line="288"/>
        <w:jc w:val="both"/>
      </w:pPr>
      <w:r>
        <w:rPr>
          <w:rFonts w:ascii="Cambria" w:cs="Cambria" w:eastAsia="Cambria" w:hAnsi="Cambria"/>
          <w:sz w:val="22"/>
          <w:szCs w:val="22"/>
        </w:rPr>
        <w:t xml:space="preserve">La fermeture globale (moyenne des flexions des doigts longs, de 0 à 100 %) vaut 2 % main ouverte, 23 % au repos, 68 % en pince et 95 % poing fermé ; c'est la valeur transmise au degré de liberté « main.fermeture », que lit le jumeau du TonyPi Pro pour commander sa pince.</w:t>
      </w:r>
    </w:p>
    <w:p>
      <w:pPr>
        <w:pStyle w:val="Heading1"/>
        <w:keepNext/>
        <w:spacing w:after="120" w:before="280"/>
      </w:pPr>
      <w:r>
        <w:rPr>
          <w:rFonts w:ascii="Cambria" w:cs="Cambria" w:eastAsia="Cambria" w:hAnsi="Cambria"/>
          <w:b/>
          <w:bCs/>
          <w:color w:val="1F2B3A"/>
          <w:sz w:val="28"/>
          <w:szCs w:val="28"/>
        </w:rPr>
        <w:t xml:space="preserve">7. Prises et accessoires</w:t>
      </w:r>
    </w:p>
    <w:p>
      <w:pPr>
        <w:spacing w:after="120" w:line="288"/>
        <w:jc w:val="both"/>
      </w:pPr>
      <w:r>
        <w:rPr>
          <w:rFonts w:ascii="Cambria" w:cs="Cambria" w:eastAsia="Cambria" w:hAnsi="Cambria"/>
          <w:sz w:val="22"/>
          <w:szCs w:val="22"/>
        </w:rPr>
        <w:t xml:space="preserve">Douze accessoires sont modélisés, chacun avec une forme de contact (cylindre, sphère ou plaque), une masse, un coefficient de frottement, un seuil de dommage, l'effet de ce dommage et sa prise par défaut. (Inférence) Masses, coefficients et seuils sont des valeurs de conception plausibles. Le tableau donne, pour une prise normale, les doigts effectivement en contact calculés par le modèle et la force établie.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500"/>
        <w:gridCol w:w="2760"/>
        <w:gridCol w:w="1100"/>
      </w:tblGrid>
      <w:tr>
        <w:trPr>
          <w:cantSplit/>
          <w:tblHeader/>
        </w:trPr>
        <w:tc>
          <w:tcPr>
            <w:tcW w:type="dxa" w:w="13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Accessoire</w:t>
            </w:r>
          </w:p>
        </w:tc>
        <w:tc>
          <w:tcPr>
            <w:tcW w:type="dxa" w:w="27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Prise (taxonomie)</w:t>
            </w:r>
          </w:p>
        </w:tc>
        <w:tc>
          <w:tcPr>
            <w:tcW w:type="dxa" w:w="15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Masse, μ, seuil</w:t>
            </w:r>
          </w:p>
        </w:tc>
        <w:tc>
          <w:tcPr>
            <w:tcW w:type="dxa" w:w="27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Doigts en contact (segments)</w:t>
            </w:r>
          </w:p>
        </w:tc>
        <w:tc>
          <w:tcPr>
            <w:tcW w:type="dxa" w:w="11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Force</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verre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enveloppement cylindrique — Medium wrap — puissance, opposition paume</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0,25 kg ; 0,6 ; 45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(dist.), index (dist.), majeur (dist.), annulaire (dist.), auriculaire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3,1 N (min. 2)</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coupe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enveloppement cylindrique — Medium wrap — puissance, opposition paume</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kg ; 0,6 ; 40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(moy., dist.), index (dist.), majeur (dist.), annulaire (dist.), auriculaire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N (min. 1,6)</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épée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enveloppement cylindrique — Medium wrap — puissance, opposition paume</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 kg ; 0,9 ; 2 000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(prox., moy.), index (dist.), majeur (dist.), annulaire (dist.), auriculaire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 N (min. 6)</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éventail</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prise latérale (pouce contre le côté de l'index) — Lateral — intermédiaire, opposition côté</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0,08 kg ; 0,6 ; 60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(dist.), index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N (min. 0,7)</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lettre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prise latérale (pouce contre le côté de l'index) — Lateral — intermédiaire, opposition côté</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0,006 kg ; 0,45 ; 6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(moy., dist.), index (prox., moy.,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N (min. 0,1)</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rose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pince fine pulpe à pulpe — Tip pinch — précision, opposition pulpe</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0,03 kg ; 0,55 ; 4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(dist.), index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N (min. 0,3)</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plume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tripode — Tripod — précision, opposition pulpe</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0,01 kg ; 0,5 ; 8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(dist.), index (dist.), majeur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N (min. 0,1)</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pomme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prise sphérique — Power sphere — puissance, opposition paume</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kg ; 0,6 ; 120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(dist.), index (dist.), majeur (moy., dist.), annulaire (moy., dist.), auriculaire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N (min. 1,6)</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crâne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prise sphérique — Power sphere — puissance, opposition paume</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 kg ; 0,7 ; 600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(dist.), index (dist.), majeur (dist.), annulaire (dist.), auriculaire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9,5 N (min. 6,3)</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livre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prise palmaire d'un objet plat (pouce sur une face, doigts sur l'autre) — Medium wrap aplati — puissance, opposition paume (Inférence)</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 kg ; 0,6 ; 800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(dist.), index (dist.), majeur (moy., dist.), annulaire (dist.), auriculaire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6,1 N (min. 4,1)</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lanterne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crochet — Hook — puissance, sans pouce</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kg ; 0,7 ; 400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(dist.), majeur (dist.), annulaire (moy., dist.), auriculaire (dist.)</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6,3 N (min. 4,2)</w:t>
            </w:r>
          </w:p>
        </w:tc>
      </w:tr>
      <w:tr>
        <w:trPr>
          <w:cantSplit/>
        </w:trPr>
        <w:tc>
          <w:tcPr>
            <w:tcW w:type="dxa" w:w="13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du partenaire</w:t>
            </w:r>
          </w:p>
        </w:tc>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poignée de main — Medium wrap appliqué à la main d'autrui</w:t>
            </w:r>
          </w:p>
        </w:tc>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kg ; 0,8 ; 30 N</w:t>
            </w:r>
          </w:p>
        </w:tc>
        <w:tc>
          <w:tcPr>
            <w:tcW w:type="dxa" w:w="2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 (dist.), index (prox., dist.), majeur (prox., dist.), annulaire (prox., dist.), auriculaire (moy.)</w:t>
            </w:r>
          </w:p>
        </w:tc>
        <w:tc>
          <w:tcPr>
            <w:tcW w:type="dxa" w:w="11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N (min. 0)</w:t>
            </w:r>
          </w:p>
        </w:tc>
      </w:tr>
    </w:tbl>
    <w:p>
      <w:pPr>
        <w:spacing w:after="60"/>
      </w:pPr>
    </w:p>
    <w:p>
      <w:pPr>
        <w:spacing w:after="120" w:line="288"/>
        <w:jc w:val="both"/>
      </w:pPr>
      <w:r>
        <w:rPr>
          <w:rFonts w:ascii="Cambria" w:cs="Cambria" w:eastAsia="Cambria" w:hAnsi="Cambria"/>
          <w:sz w:val="22"/>
          <w:szCs w:val="22"/>
        </w:rPr>
        <w:t xml:space="preserve">La main du partenaire est tenue par lui : elle n'a pas de poids pour le robot, et son seuil de « dommage » est un seuil d'inconfort ; « effleure sa main » produit un contact de 0,2 N sans serrer. Lâché, un accessoire tombe sur le plateau, où il reste jusqu'à ce qu'on le reprenne ; posé, il quitte la scène ; reprendre un autre objet pose le premier. Le dommage est visible : la lettre froissée devient une boule, la tige de la rose plie, les autres objets s'assombrissent.</w:t>
      </w:r>
    </w:p>
    <w:p>
      <w:pPr>
        <w:pStyle w:val="Heading1"/>
        <w:keepNext/>
        <w:spacing w:after="120" w:before="280"/>
      </w:pPr>
      <w:r>
        <w:rPr>
          <w:rFonts w:ascii="Cambria" w:cs="Cambria" w:eastAsia="Cambria" w:hAnsi="Cambria"/>
          <w:b/>
          <w:bCs/>
          <w:color w:val="1F2B3A"/>
          <w:sz w:val="28"/>
          <w:szCs w:val="28"/>
        </w:rPr>
        <w:t xml:space="preserve">8. Toucher et carte de 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cantSplit/>
          <w:tblHeader/>
        </w:trPr>
        <w:tc>
          <w:tcPr>
            <w:tcW w:type="dxa" w:w="60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Capteur</w:t>
            </w:r>
          </w:p>
        </w:tc>
        <w:tc>
          <w:tcPr>
            <w:tcW w:type="dxa" w:w="33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Aire de contact (cm²)</w:t>
            </w:r>
          </w:p>
        </w:tc>
      </w:tr>
      <w:tr>
        <w:trPr>
          <w:cantSplit/>
        </w:trPr>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pulpe du pouce</w:t>
            </w:r>
          </w:p>
        </w:tc>
        <w:tc>
          <w:tcPr>
            <w:tcW w:type="dxa" w:w="3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1,4</w:t>
            </w:r>
          </w:p>
        </w:tc>
      </w:tr>
      <w:tr>
        <w:trPr>
          <w:cantSplit/>
        </w:trPr>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pulpe de l'index</w:t>
            </w:r>
          </w:p>
        </w:tc>
        <w:tc>
          <w:tcPr>
            <w:tcW w:type="dxa" w:w="3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r>
      <w:tr>
        <w:trPr>
          <w:cantSplit/>
        </w:trPr>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pulpe du majeur</w:t>
            </w:r>
          </w:p>
        </w:tc>
        <w:tc>
          <w:tcPr>
            <w:tcW w:type="dxa" w:w="3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r>
      <w:tr>
        <w:trPr>
          <w:cantSplit/>
        </w:trPr>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pulpe de l'annulaire</w:t>
            </w:r>
          </w:p>
        </w:tc>
        <w:tc>
          <w:tcPr>
            <w:tcW w:type="dxa" w:w="3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r>
      <w:tr>
        <w:trPr>
          <w:cantSplit/>
        </w:trPr>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pulpe de l'auriculaire</w:t>
            </w:r>
          </w:p>
        </w:tc>
        <w:tc>
          <w:tcPr>
            <w:tcW w:type="dxa" w:w="3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r>
      <w:tr>
        <w:trPr>
          <w:cantSplit/>
        </w:trPr>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phalange moyenne de l'index</w:t>
            </w:r>
          </w:p>
        </w:tc>
        <w:tc>
          <w:tcPr>
            <w:tcW w:type="dxa" w:w="3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r>
      <w:tr>
        <w:trPr>
          <w:cantSplit/>
        </w:trPr>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phalange moyenne du majeur</w:t>
            </w:r>
          </w:p>
        </w:tc>
        <w:tc>
          <w:tcPr>
            <w:tcW w:type="dxa" w:w="3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r>
      <w:tr>
        <w:trPr>
          <w:cantSplit/>
        </w:trPr>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phalange moyenne de l'annulaire</w:t>
            </w:r>
          </w:p>
        </w:tc>
        <w:tc>
          <w:tcPr>
            <w:tcW w:type="dxa" w:w="3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r>
      <w:tr>
        <w:trPr>
          <w:cantSplit/>
        </w:trPr>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phalange moyenne de l'auriculaire</w:t>
            </w:r>
          </w:p>
        </w:tc>
        <w:tc>
          <w:tcPr>
            <w:tcW w:type="dxa" w:w="3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r>
      <w:tr>
        <w:trPr>
          <w:cantSplit/>
        </w:trPr>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w:t>
            </w:r>
          </w:p>
        </w:tc>
        <w:tc>
          <w:tcPr>
            <w:tcW w:type="dxa" w:w="3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w:t>
            </w:r>
          </w:p>
        </w:tc>
      </w:tr>
    </w:tbl>
    <w:p>
      <w:pPr>
        <w:spacing w:after="60"/>
      </w:pPr>
    </w:p>
    <w:p>
      <w:pPr>
        <w:spacing w:after="120" w:line="288"/>
        <w:jc w:val="both"/>
      </w:pPr>
      <w:r>
        <w:rPr>
          <w:rFonts w:ascii="Cambria" w:cs="Cambria" w:eastAsia="Cambria" w:hAnsi="Cambria"/>
          <w:sz w:val="22"/>
          <w:szCs w:val="22"/>
        </w:rPr>
        <w:t xml:space="preserve">(Inférence) Les aires de contact sont des valeurs de conception. Au rendu, un coussinet coloré apparaît sur chaque capteur en contact : vert pour un effleurement, jaune puis rouge au-delà, sur une échelle logarithmique qui atteint le rouge vers 300 kPa ; la case « carte tactile » de l'onglet « Mains » les masque. Le toucher du corps propre est perçu de la même façon : quand un geste pose la main sur le visage ou sur le cœur, les capteurs du point de contact (paume, pulpe de l'index, pulpes des doigts) reçoivent une force qui dépend de la manière (0,2 N pour un effleurement, 0,6 N délicatement, 1,5 N normalement, 5 N fermement, Inférence). La main sur le cœur rejoint un repère de la poitrine par la même cinématique inverse du bras que les gestes au visage.</w:t>
      </w:r>
    </w:p>
    <w:p>
      <w:pPr>
        <w:pStyle w:val="Heading1"/>
        <w:keepNext/>
        <w:spacing w:after="120" w:before="280"/>
      </w:pPr>
      <w:r>
        <w:rPr>
          <w:rFonts w:ascii="Cambria" w:cs="Cambria" w:eastAsia="Cambria" w:hAnsi="Cambria"/>
          <w:b/>
          <w:bCs/>
          <w:color w:val="1F2B3A"/>
          <w:sz w:val="28"/>
          <w:szCs w:val="28"/>
        </w:rPr>
        <w:t xml:space="preserve">9. Commandes écrites et vocales</w:t>
      </w:r>
    </w:p>
    <w:p>
      <w:pPr>
        <w:spacing w:after="120" w:line="288"/>
        <w:jc w:val="both"/>
      </w:pPr>
      <w:r>
        <w:rPr>
          <w:rFonts w:ascii="Cambria" w:cs="Cambria" w:eastAsia="Cambria" w:hAnsi="Cambria"/>
          <w:sz w:val="22"/>
          <w:szCs w:val="22"/>
        </w:rPr>
        <w:t xml:space="preserve">L'interprète de la page reconnaît les consignes de main avant les gestes homonymes : un objet nommé avec un verbe de prise (prends, saisis, tiens, porte, brandis, effleure…) donne une prise ; un verbe de dépôt, de lâcher ou d'écrasement donne l'action correspondante ; un objet nommé sans verbe de prise reste un geste mimé (« bois un verre »). La manière se lit dans l'adverbe. Le côté par défaut est la main droite ; « avec la main gauche » ou « des deux mains » le précisent, et « lâche le verre » s'adresse à la main qui le tient. Le tableau a été produit en soumettant chaque phrase à l'interprète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Consigne</w:t>
            </w:r>
          </w:p>
        </w:tc>
        <w:tc>
          <w:tcPr>
            <w:tcW w:type="dxa" w:w="57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Action produite par l'interprète</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prends le verre délicatement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prendre verre (enveloppement cylindrique) — délicatement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prends l'épée fermement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prendre épée (enveloppement cylindrique) — fermement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prends la rose du bout des doigts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prendre rose (pince fine pulpe à pulpe) — délicatement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tiens la lettre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prendre lettre (prise latérale (pouce contre le côté de l'index)) — normalement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prends le livre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prendre livre (prise palmaire d'un objet plat (pouce sur une face, doigts sur l'autre)) — normalement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prends le crâne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prendre crâne (prise sphérique) — normalement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porte la lanterne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prendre lanterne (crochet) — normalement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prends la pomme avec la main gauche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gauche : prendre pomme (prise sphérique) — normalement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pose le verre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poser verre</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lâche la rose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lâcher rose</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froisse la lettre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écraser volontairement lettre</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serre plus fort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régler le serrage — fermement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desserre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régler le serrage — délicatement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serre la main du partenaire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prendre main du partenaire (poignée de main) — normalement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effleure sa main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prendre main du partenaire (poignée de main) — effleurement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serre-lui la main de toutes tes forces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prendre main du partenaire (poignée de main) — de toutes ses forces</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pose la main sur le cœur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main posée sur le cœur — délicatement</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montre trois doigts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posture « trois doigts »</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le signe ok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posture « signe « OK » (pouce et index en anneau) »</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signe de la victoire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posture « V de la victoire »</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pouce vers le bas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posture « pouce baissé »</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serre le poing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posture « poing fermé »</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écarte les doigts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posture « doigts écartés »</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une pince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posture « pince pouce-index »</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pianote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pianoter des doigts</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relâche la main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rendue aux gestes</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 le pouce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 posture « pouce levé » ; puis geste « pouce_leve »</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bois un verre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 « boire »</w:t>
            </w:r>
          </w:p>
        </w:tc>
      </w:tr>
      <w:tr>
        <w:trPr>
          <w:cantSplit/>
        </w:trPr>
        <w:tc>
          <w:tcPr>
            <w:tcW w:type="dxa" w:w="36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serre la main »</w:t>
            </w:r>
          </w:p>
        </w:tc>
        <w:tc>
          <w:tcPr>
            <w:tcW w:type="dxa" w:w="57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 « serrer_main »</w:t>
            </w:r>
          </w:p>
        </w:tc>
      </w:tr>
    </w:tbl>
    <w:p>
      <w:pPr>
        <w:spacing w:after="60"/>
      </w:pPr>
    </w:p>
    <w:p>
      <w:pPr>
        <w:spacing w:after="120" w:line="288"/>
        <w:jc w:val="both"/>
      </w:pPr>
      <w:r>
        <w:rPr>
          <w:rFonts w:ascii="Cambria" w:cs="Cambria" w:eastAsia="Cambria" w:hAnsi="Cambria"/>
          <w:sz w:val="22"/>
          <w:szCs w:val="22"/>
        </w:rPr>
        <w:t xml:space="preserve">Toute action de main proposée par un modèle d'IA, quand l'interprète ne comprend pas, est revalidée par le pont contre le vocabulaire fermé de schema.json (actions, postures, objets, manières, cibles du toucher), selon la même règle que dans la page ; une action hors vocabulaire est rejetée avec son motif.</w:t>
      </w:r>
    </w:p>
    <w:p>
      <w:pPr>
        <w:pStyle w:val="Heading1"/>
        <w:keepNext/>
        <w:spacing w:after="120" w:before="280"/>
      </w:pPr>
      <w:r>
        <w:rPr>
          <w:rFonts w:ascii="Cambria" w:cs="Cambria" w:eastAsia="Cambria" w:hAnsi="Cambria"/>
          <w:b/>
          <w:bCs/>
          <w:color w:val="1F2B3A"/>
          <w:sz w:val="28"/>
          <w:szCs w:val="28"/>
        </w:rPr>
        <w:t xml:space="preserve">10. Interface et robot physique</w:t>
      </w:r>
    </w:p>
    <w:p>
      <w:pPr>
        <w:pStyle w:val="ListParagraph"/>
        <w:numPr>
          <w:ilvl w:val="0"/>
          <w:numId w:val="2"/>
        </w:numPr>
        <w:spacing w:after="60" w:line="288"/>
        <w:jc w:val="both"/>
      </w:pPr>
      <w:r>
        <w:rPr>
          <w:rFonts w:ascii="Cambria" w:cs="Cambria" w:eastAsia="Cambria" w:hAnsi="Cambria"/>
          <w:b/>
          <w:bCs/>
          <w:sz w:val="22"/>
          <w:szCs w:val="22"/>
        </w:rPr>
        <w:t xml:space="preserve">Onglet « Mains ». </w:t>
      </w:r>
      <w:r>
        <w:rPr>
          <w:rFonts w:ascii="Cambria" w:cs="Cambria" w:eastAsia="Cambria" w:hAnsi="Cambria"/>
          <w:sz w:val="22"/>
          <w:szCs w:val="22"/>
        </w:rPr>
        <w:t xml:space="preserve">Pour chaque main : posture des doigts, accessoire et manière, boutons Prendre, Poser, Lâcher, Écraser et « Rendre aux gestes », état de la prise (force, force minimale, glissement, dommage), fermeture en pour cent et relevé des dix capteurs (force et pression).</w:t>
      </w:r>
    </w:p>
    <w:p>
      <w:pPr>
        <w:pStyle w:val="ListParagraph"/>
        <w:numPr>
          <w:ilvl w:val="0"/>
          <w:numId w:val="2"/>
        </w:numPr>
        <w:spacing w:after="60" w:line="288"/>
        <w:jc w:val="both"/>
      </w:pPr>
      <w:r>
        <w:rPr>
          <w:rFonts w:ascii="Cambria" w:cs="Cambria" w:eastAsia="Cambria" w:hAnsi="Cambria"/>
          <w:b/>
          <w:bCs/>
          <w:sz w:val="22"/>
          <w:szCs w:val="22"/>
        </w:rPr>
        <w:t xml:space="preserve">Journal. </w:t>
      </w:r>
      <w:r>
        <w:rPr>
          <w:rFonts w:ascii="Cambria" w:cs="Cambria" w:eastAsia="Cambria" w:hAnsi="Cambria"/>
          <w:sz w:val="22"/>
          <w:szCs w:val="22"/>
        </w:rPr>
        <w:t xml:space="preserve">Prise établie, glissement, réflexe, objet échappé, dommage, objet lâché ou posé : chaque événement de la main est consigné, côté compris.</w:t>
      </w:r>
    </w:p>
    <w:p>
      <w:pPr>
        <w:pStyle w:val="ListParagraph"/>
        <w:numPr>
          <w:ilvl w:val="0"/>
          <w:numId w:val="2"/>
        </w:numPr>
        <w:spacing w:after="60" w:line="288"/>
        <w:jc w:val="both"/>
      </w:pPr>
      <w:r>
        <w:rPr>
          <w:rFonts w:ascii="Cambria" w:cs="Cambria" w:eastAsia="Cambria" w:hAnsi="Cambria"/>
          <w:b/>
          <w:bCs/>
          <w:sz w:val="22"/>
          <w:szCs w:val="22"/>
        </w:rPr>
        <w:t xml:space="preserve">Bras. </w:t>
      </w:r>
      <w:r>
        <w:rPr>
          <w:rFonts w:ascii="Cambria" w:cs="Cambria" w:eastAsia="Cambria" w:hAnsi="Cambria"/>
          <w:sz w:val="22"/>
          <w:szCs w:val="22"/>
        </w:rPr>
        <w:t xml:space="preserve">Saisir un accessoire fléchit le coude pour le présenter ; serrer la main du partenaire tend le bras vers l'avant ; lâcher ramène le bras.</w:t>
      </w:r>
    </w:p>
    <w:p>
      <w:pPr>
        <w:pStyle w:val="ListParagraph"/>
        <w:numPr>
          <w:ilvl w:val="0"/>
          <w:numId w:val="2"/>
        </w:numPr>
        <w:spacing w:after="60" w:line="288"/>
        <w:jc w:val="both"/>
      </w:pPr>
      <w:r>
        <w:rPr>
          <w:rFonts w:ascii="Cambria" w:cs="Cambria" w:eastAsia="Cambria" w:hAnsi="Cambria"/>
          <w:b/>
          <w:bCs/>
          <w:sz w:val="22"/>
          <w:szCs w:val="22"/>
        </w:rPr>
        <w:t xml:space="preserve">TonyPi Pro. </w:t>
      </w:r>
      <w:r>
        <w:rPr>
          <w:rFonts w:ascii="Cambria" w:cs="Cambria" w:eastAsia="Cambria" w:hAnsi="Cambria"/>
          <w:sz w:val="22"/>
          <w:szCs w:val="22"/>
        </w:rPr>
        <w:t xml:space="preserve">La pince du robot réel reçoit la fermeture globale de la main par le jumeau, dans les limites et sous la couche de sécurité déjà décrites dans le guide du TonyPi Pro ; les doigts, les forces et les capteurs restent virtuels.</w:t>
      </w:r>
    </w:p>
    <w:p>
      <w:pPr>
        <w:pStyle w:val="Heading1"/>
        <w:keepNext/>
        <w:spacing w:after="120" w:before="280"/>
      </w:pPr>
      <w:r>
        <w:rPr>
          <w:rFonts w:ascii="Cambria" w:cs="Cambria" w:eastAsia="Cambria" w:hAnsi="Cambria"/>
          <w:b/>
          <w:bCs/>
          <w:color w:val="1F2B3A"/>
          <w:sz w:val="28"/>
          <w:szCs w:val="28"/>
        </w:rPr>
        <w:t xml:space="preserve">11. Validation et limites</w:t>
      </w:r>
    </w:p>
    <w:p>
      <w:pPr>
        <w:spacing w:after="120" w:line="288"/>
        <w:jc w:val="both"/>
      </w:pPr>
      <w:r>
        <w:rPr>
          <w:rFonts w:ascii="Cambria" w:cs="Cambria" w:eastAsia="Cambria" w:hAnsi="Cambria"/>
          <w:sz w:val="22"/>
          <w:szCs w:val="22"/>
        </w:rPr>
        <w:t xml:space="preserve">Douze tests automatisés (tests/test_mains.py) vérifient les amplitudes et le couplage des postures, le contact d'au moins deux doigts dont le pouce sur chaque accessoire, une force comprise entre la force minimale et le plafond, la latence de 74 ms du réflexe, l'arrachement, l'écrasement volontaire, l'égalité pression = force / aire, l'ordre des fermetures, la poignée de main délicate, l'identité du vocabulaire entre le module et le schéma, la compréhension et la validation identique des consignes en JavaScript et en Python, et l'intégration avec le rendu et le jumeau. L'ensemble des tests de la plateforme passe.</w:t>
      </w:r>
    </w:p>
    <w:p>
      <w:pPr>
        <w:pStyle w:val="ListParagraph"/>
        <w:numPr>
          <w:ilvl w:val="0"/>
          <w:numId w:val="2"/>
        </w:numPr>
        <w:spacing w:after="60" w:line="288"/>
        <w:jc w:val="both"/>
      </w:pPr>
      <w:r>
        <w:rPr>
          <w:rFonts w:ascii="Cambria" w:cs="Cambria" w:eastAsia="Cambria" w:hAnsi="Cambria"/>
          <w:b/>
          <w:bCs/>
          <w:sz w:val="22"/>
          <w:szCs w:val="22"/>
        </w:rPr>
        <w:t xml:space="preserve">Physique simplifiée. </w:t>
      </w:r>
      <w:r>
        <w:rPr>
          <w:rFonts w:ascii="Cambria" w:cs="Cambria" w:eastAsia="Cambria" w:hAnsi="Cambria"/>
          <w:sz w:val="22"/>
          <w:szCs w:val="22"/>
        </w:rPr>
        <w:t xml:space="preserve">Le glissement suit le frottement de Coulomb sur deux faces, amorti par la souplesse de la pulpe (Inférence) ; l'objet ne tourne pas dans la main et le couple n'est pas modélisé.</w:t>
      </w:r>
    </w:p>
    <w:p>
      <w:pPr>
        <w:pStyle w:val="ListParagraph"/>
        <w:numPr>
          <w:ilvl w:val="0"/>
          <w:numId w:val="2"/>
        </w:numPr>
        <w:spacing w:after="60" w:line="288"/>
        <w:jc w:val="both"/>
      </w:pPr>
      <w:r>
        <w:rPr>
          <w:rFonts w:ascii="Cambria" w:cs="Cambria" w:eastAsia="Cambria" w:hAnsi="Cambria"/>
          <w:b/>
          <w:bCs/>
          <w:sz w:val="22"/>
          <w:szCs w:val="22"/>
        </w:rPr>
        <w:t xml:space="preserve">Valeurs de conception. </w:t>
      </w:r>
      <w:r>
        <w:rPr>
          <w:rFonts w:ascii="Cambria" w:cs="Cambria" w:eastAsia="Cambria" w:hAnsi="Cambria"/>
          <w:sz w:val="22"/>
          <w:szCs w:val="22"/>
        </w:rPr>
        <w:t xml:space="preserve">Masses, coefficients de frottement, seuils de dommage, aires des capteurs, forces du toucher, marges et vitesses ne sont pas mesurés ; ils sont réglables et devraient être calibrés si l'on veut comparer le robot à un acteur.</w:t>
      </w:r>
    </w:p>
    <w:p>
      <w:pPr>
        <w:pStyle w:val="ListParagraph"/>
        <w:numPr>
          <w:ilvl w:val="0"/>
          <w:numId w:val="2"/>
        </w:numPr>
        <w:spacing w:after="60" w:line="288"/>
        <w:jc w:val="both"/>
      </w:pPr>
      <w:r>
        <w:rPr>
          <w:rFonts w:ascii="Cambria" w:cs="Cambria" w:eastAsia="Cambria" w:hAnsi="Cambria"/>
          <w:b/>
          <w:bCs/>
          <w:sz w:val="22"/>
          <w:szCs w:val="22"/>
        </w:rPr>
        <w:t xml:space="preserve">Robot réel. </w:t>
      </w:r>
      <w:r>
        <w:rPr>
          <w:rFonts w:ascii="Cambria" w:cs="Cambria" w:eastAsia="Cambria" w:hAnsi="Cambria"/>
          <w:sz w:val="22"/>
          <w:szCs w:val="22"/>
        </w:rPr>
        <w:t xml:space="preserve">Aucun robot physique de la plateforme n'a de doigts ; la main à cinq doigts reste virtuelle tant qu'une main robotique n'est pas reliée.</w:t>
      </w:r>
    </w:p>
    <w:p>
      <w:pPr>
        <w:pStyle w:val="ListParagraph"/>
        <w:numPr>
          <w:ilvl w:val="0"/>
          <w:numId w:val="2"/>
        </w:numPr>
        <w:spacing w:after="60" w:line="288"/>
        <w:jc w:val="both"/>
      </w:pPr>
      <w:r>
        <w:rPr>
          <w:rFonts w:ascii="Cambria" w:cs="Cambria" w:eastAsia="Cambria" w:hAnsi="Cambria"/>
          <w:b/>
          <w:bCs/>
          <w:sz w:val="22"/>
          <w:szCs w:val="22"/>
        </w:rPr>
        <w:t xml:space="preserve">Partenaire. </w:t>
      </w:r>
      <w:r>
        <w:rPr>
          <w:rFonts w:ascii="Cambria" w:cs="Cambria" w:eastAsia="Cambria" w:hAnsi="Cambria"/>
          <w:sz w:val="22"/>
          <w:szCs w:val="22"/>
        </w:rPr>
        <w:t xml:space="preserve">Le partenaire est une main virtuelle ; aucune personne réelle n'est touchée par le système.</w:t>
      </w:r>
    </w:p>
    <w:p>
      <w:pPr>
        <w:pStyle w:val="Heading1"/>
        <w:keepNext/>
        <w:spacing w:after="120" w:before="280"/>
      </w:pPr>
      <w:r>
        <w:rPr>
          <w:rFonts w:ascii="Cambria" w:cs="Cambria" w:eastAsia="Cambria" w:hAnsi="Cambria"/>
          <w:b/>
          <w:bCs/>
          <w:color w:val="1F2B3A"/>
          <w:sz w:val="28"/>
          <w:szCs w:val="28"/>
        </w:rPr>
        <w:t xml:space="preserve">Ouvrages cités</w:t>
      </w:r>
    </w:p>
    <w:p>
      <w:pPr>
        <w:spacing w:after="100"/>
        <w:ind w:left="720" w:hanging="720"/>
      </w:pPr>
      <w:r>
        <w:rPr>
          <w:rFonts w:ascii="Cambria" w:cs="Cambria" w:eastAsia="Cambria" w:hAnsi="Cambria"/>
          <w:sz w:val="22"/>
          <w:szCs w:val="22"/>
        </w:rPr>
        <w:t xml:space="preserve">Feix, Thomas, et al. « The GRASP Taxonomy of Human Grasp Types. » </w:t>
      </w:r>
      <w:r>
        <w:rPr>
          <w:rFonts w:ascii="Cambria" w:cs="Cambria" w:eastAsia="Cambria" w:hAnsi="Cambria"/>
          <w:i/>
          <w:iCs/>
          <w:sz w:val="22"/>
          <w:szCs w:val="22"/>
        </w:rPr>
        <w:t xml:space="preserve">IEEE Transactions on Human-Machine Systems</w:t>
      </w:r>
      <w:r>
        <w:rPr>
          <w:rFonts w:ascii="Cambria" w:cs="Cambria" w:eastAsia="Cambria" w:hAnsi="Cambria"/>
          <w:sz w:val="22"/>
          <w:szCs w:val="22"/>
        </w:rPr>
        <w:t xml:space="preserve">, vol. 46, no 1, 2016, p. 66-77, https://doi.org/10.1109/THMS.2015.2470657.</w:t>
      </w:r>
    </w:p>
    <w:p>
      <w:pPr>
        <w:spacing w:after="100"/>
        <w:ind w:left="720" w:hanging="720"/>
      </w:pPr>
      <w:r>
        <w:rPr>
          <w:rFonts w:ascii="Cambria" w:cs="Cambria" w:eastAsia="Cambria" w:hAnsi="Cambria"/>
          <w:sz w:val="22"/>
          <w:szCs w:val="22"/>
        </w:rPr>
        <w:t xml:space="preserve">Johansson, Roland S., et Göran Westling. « Signals in Tactile Afferents from the Fingers Eliciting Adaptive Motor Responses during Precision Grip. » </w:t>
      </w:r>
      <w:r>
        <w:rPr>
          <w:rFonts w:ascii="Cambria" w:cs="Cambria" w:eastAsia="Cambria" w:hAnsi="Cambria"/>
          <w:i/>
          <w:iCs/>
          <w:sz w:val="22"/>
          <w:szCs w:val="22"/>
        </w:rPr>
        <w:t xml:space="preserve">Experimental Brain Research</w:t>
      </w:r>
      <w:r>
        <w:rPr>
          <w:rFonts w:ascii="Cambria" w:cs="Cambria" w:eastAsia="Cambria" w:hAnsi="Cambria"/>
          <w:sz w:val="22"/>
          <w:szCs w:val="22"/>
        </w:rPr>
        <w:t xml:space="preserve">, vol. 66, no 1, 1987, p. 141-54, https://doi.org/10.1007/BF00236210.</w:t>
      </w:r>
    </w:p>
    <w:p>
      <w:pPr>
        <w:spacing w:after="100"/>
        <w:ind w:left="720" w:hanging="720"/>
      </w:pPr>
      <w:r>
        <w:rPr>
          <w:rFonts w:ascii="Cambria" w:cs="Cambria" w:eastAsia="Cambria" w:hAnsi="Cambria"/>
          <w:sz w:val="22"/>
          <w:szCs w:val="22"/>
        </w:rPr>
        <w:t xml:space="preserve">« Normal Range of Motion. » </w:t>
      </w:r>
      <w:r>
        <w:rPr>
          <w:rFonts w:ascii="Cambria" w:cs="Cambria" w:eastAsia="Cambria" w:hAnsi="Cambria"/>
          <w:i/>
          <w:iCs/>
          <w:sz w:val="22"/>
          <w:szCs w:val="22"/>
        </w:rPr>
        <w:t xml:space="preserve">Eaton Hand</w:t>
      </w:r>
      <w:r>
        <w:rPr>
          <w:rFonts w:ascii="Cambria" w:cs="Cambria" w:eastAsia="Cambria" w:hAnsi="Cambria"/>
          <w:sz w:val="22"/>
          <w:szCs w:val="22"/>
        </w:rPr>
        <w:t xml:space="preserve">, eatonhand.com/clf/clf218.htm. Consulté le 25 oct. 2026.</w:t>
      </w:r>
    </w:p>
    <w:p>
      <w:pPr>
        <w:spacing w:after="100"/>
        <w:ind w:left="720" w:hanging="720"/>
      </w:pPr>
      <w:r>
        <w:rPr>
          <w:rFonts w:ascii="Cambria" w:cs="Cambria" w:eastAsia="Cambria" w:hAnsi="Cambria"/>
          <w:sz w:val="22"/>
          <w:szCs w:val="22"/>
        </w:rPr>
        <w:t xml:space="preserve">Physiotutors. « Wrist/Hand Active Range of Motion (AROM). » </w:t>
      </w:r>
      <w:r>
        <w:rPr>
          <w:rFonts w:ascii="Cambria" w:cs="Cambria" w:eastAsia="Cambria" w:hAnsi="Cambria"/>
          <w:i/>
          <w:iCs/>
          <w:sz w:val="22"/>
          <w:szCs w:val="22"/>
        </w:rPr>
        <w:t xml:space="preserve">Physiotutors</w:t>
      </w:r>
      <w:r>
        <w:rPr>
          <w:rFonts w:ascii="Cambria" w:cs="Cambria" w:eastAsia="Cambria" w:hAnsi="Cambria"/>
          <w:sz w:val="22"/>
          <w:szCs w:val="22"/>
        </w:rPr>
        <w:t xml:space="preserve">, www.physiotutors.com/wiki/wrist-hand-active-range-of-motion/. Consulté le 25 oct. 2026.</w:t>
      </w:r>
    </w:p>
    <w:p>
      <w:pPr>
        <w:spacing w:after="100"/>
        <w:ind w:left="720" w:hanging="720"/>
      </w:pPr>
      <w:r>
        <w:rPr>
          <w:rFonts w:ascii="Cambria" w:cs="Cambria" w:eastAsia="Cambria" w:hAnsi="Cambria"/>
          <w:sz w:val="22"/>
          <w:szCs w:val="22"/>
        </w:rPr>
        <w:t xml:space="preserve">Rijpkema, Hans, et Michael Girard. « Computer Animation of Knowledge-Based Human Grasping. » </w:t>
      </w:r>
      <w:r>
        <w:rPr>
          <w:rFonts w:ascii="Cambria" w:cs="Cambria" w:eastAsia="Cambria" w:hAnsi="Cambria"/>
          <w:i/>
          <w:iCs/>
          <w:sz w:val="22"/>
          <w:szCs w:val="22"/>
        </w:rPr>
        <w:t xml:space="preserve">Computer Graphics</w:t>
      </w:r>
      <w:r>
        <w:rPr>
          <w:rFonts w:ascii="Cambria" w:cs="Cambria" w:eastAsia="Cambria" w:hAnsi="Cambria"/>
          <w:sz w:val="22"/>
          <w:szCs w:val="22"/>
        </w:rPr>
        <w:t xml:space="preserve">, vol. 25, no 4, 1991, p. 339-48.</w:t>
      </w:r>
    </w:p>
    <w:p>
      <w:pPr>
        <w:spacing w:after="100"/>
        <w:ind w:left="720" w:hanging="720"/>
      </w:pPr>
      <w:r>
        <w:rPr>
          <w:rFonts w:ascii="Cambria" w:cs="Cambria" w:eastAsia="Cambria" w:hAnsi="Cambria"/>
          <w:sz w:val="22"/>
          <w:szCs w:val="22"/>
        </w:rPr>
        <w:t xml:space="preserve">Santello, Marco, et al. « Postural Hand Synergies for Tool Use. » </w:t>
      </w:r>
      <w:r>
        <w:rPr>
          <w:rFonts w:ascii="Cambria" w:cs="Cambria" w:eastAsia="Cambria" w:hAnsi="Cambria"/>
          <w:i/>
          <w:iCs/>
          <w:sz w:val="22"/>
          <w:szCs w:val="22"/>
        </w:rPr>
        <w:t xml:space="preserve">The Journal of Neuroscience</w:t>
      </w:r>
      <w:r>
        <w:rPr>
          <w:rFonts w:ascii="Cambria" w:cs="Cambria" w:eastAsia="Cambria" w:hAnsi="Cambria"/>
          <w:sz w:val="22"/>
          <w:szCs w:val="22"/>
        </w:rPr>
        <w:t xml:space="preserve">, vol. 18, no 23, 1998, p. 10105-15, https://doi.org/10.1523/JNEUROSCI.18-23-10105.1998.</w:t>
      </w:r>
    </w:p>
    <w:p>
      <w:pPr>
        <w:spacing w:after="100"/>
        <w:ind w:left="720" w:hanging="720"/>
      </w:pPr>
      <w:r>
        <w:rPr>
          <w:rFonts w:ascii="Cambria" w:cs="Cambria" w:eastAsia="Cambria" w:hAnsi="Cambria"/>
          <w:sz w:val="22"/>
          <w:szCs w:val="22"/>
        </w:rPr>
        <w:t xml:space="preserve">Westling, Göran, et Roland S. Johansson. « Factors Influencing the Force Control during Precision Grip. » </w:t>
      </w:r>
      <w:r>
        <w:rPr>
          <w:rFonts w:ascii="Cambria" w:cs="Cambria" w:eastAsia="Cambria" w:hAnsi="Cambria"/>
          <w:i/>
          <w:iCs/>
          <w:sz w:val="22"/>
          <w:szCs w:val="22"/>
        </w:rPr>
        <w:t xml:space="preserve">Experimental Brain Research</w:t>
      </w:r>
      <w:r>
        <w:rPr>
          <w:rFonts w:ascii="Cambria" w:cs="Cambria" w:eastAsia="Cambria" w:hAnsi="Cambria"/>
          <w:sz w:val="22"/>
          <w:szCs w:val="22"/>
        </w:rPr>
        <w:t xml:space="preserve">, vol. 53, no 2, 1984, p. 277-84, https://doi.org/10.1007/BF00238156.</w:t>
      </w:r>
    </w:p>
    <w:p>
      <w:pPr>
        <w:spacing w:after="100"/>
        <w:ind w:left="720" w:hanging="720"/>
      </w:pPr>
      <w:r>
        <w:rPr>
          <w:rFonts w:ascii="Cambria" w:cs="Cambria" w:eastAsia="Cambria" w:hAnsi="Cambria"/>
          <w:sz w:val="22"/>
          <w:szCs w:val="22"/>
        </w:rPr>
        <w:t xml:space="preserve">Zatsiorsky, Vladimir M., et al. « Enslaving Effects in Multi-Finger Force Production. » </w:t>
      </w:r>
      <w:r>
        <w:rPr>
          <w:rFonts w:ascii="Cambria" w:cs="Cambria" w:eastAsia="Cambria" w:hAnsi="Cambria"/>
          <w:i/>
          <w:iCs/>
          <w:sz w:val="22"/>
          <w:szCs w:val="22"/>
        </w:rPr>
        <w:t xml:space="preserve">Experimental Brain Research</w:t>
      </w:r>
      <w:r>
        <w:rPr>
          <w:rFonts w:ascii="Cambria" w:cs="Cambria" w:eastAsia="Cambria" w:hAnsi="Cambria"/>
          <w:sz w:val="22"/>
          <w:szCs w:val="22"/>
        </w:rPr>
        <w:t xml:space="preserve">, vol. 131, no 2, 2000, p. 187-95, https://doi.org/10.1007/s002219900261.</w:t>
      </w:r>
    </w:p>
    <w:p>
      <w:pPr>
        <w:spacing w:after="120"/>
      </w:pPr>
      <w:r>
        <w:rPr>
          <w:rFonts w:ascii="Cambria" w:cs="Cambria" w:eastAsia="Cambria" w:hAnsi="Cambria"/>
          <w:i/>
          <w:iCs/>
          <w:color w:val="5F6B7A"/>
          <w:sz w:val="18"/>
          <w:szCs w:val="18"/>
        </w:rPr>
        <w:t xml:space="preserve">Vérifications du 25 octobre 2026 : notices des éditeurs (Springer pour Johansson et Westling, Westling et Johansson ; PubMed Central pour Santello et al. ; Université de l'Arizona pour Zatsiorsky et al.), texte intégral déposé par les auteurs pour Feix et al. et pour Rijpkema et Girard, pages consultées pour Eaton Hand et Physiotutors. Le prénom de Göran Westling et le numéro 1 du volume 66 proviennent de mes données d'entraînement. La page d'Eaton Hand indique une flexion de l'IPP de « 10 », vraisemblablement une coquille ; la borne de l'IPP retient la valeur de Physiotutors.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2CF" w:sz="4"/>
              <w:left w:val="single" w:color="B8C2CF" w:sz="4"/>
              <w:bottom w:val="single" w:color="B8C2CF" w:sz="4"/>
              <w:right w:val="single" w:color="B8C2CF" w:sz="4"/>
            </w:tcBorders>
            <w:shd w:fill="EAF4EA" w:color="auto" w:val="clear"/>
            <w:tcMar>
              <w:top w:type="dxa" w:w="120"/>
              <w:left w:type="dxa" w:w="160"/>
              <w:bottom w:type="dxa" w:w="120"/>
              <w:right w:type="dxa" w:w="160"/>
            </w:tcMar>
          </w:tcPr>
          <w:p>
            <w:pPr>
              <w:spacing w:after="100"/>
            </w:pPr>
            <w:r>
              <w:rPr>
                <w:rFonts w:ascii="Cambria" w:cs="Cambria" w:eastAsia="Cambria" w:hAnsi="Cambria"/>
                <w:b/>
                <w:bCs/>
                <w:color w:val="8A5A00"/>
                <w:sz w:val="22"/>
                <w:szCs w:val="22"/>
              </w:rPr>
              <w:t xml:space="preserve">Encadré final — Conformité ISO/IEC 42001 (guide des mains à cinq doigts)</w:t>
            </w:r>
          </w:p>
          <w:p>
            <w:pPr>
              <w:spacing w:after="100" w:line="276"/>
              <w:jc w:val="both"/>
            </w:pPr>
            <w:r>
              <w:rPr>
                <w:rFonts w:ascii="Cambria" w:cs="Cambria" w:eastAsia="Cambria" w:hAnsi="Cambria"/>
                <w:i/>
                <w:iCs/>
                <w:sz w:val="22"/>
                <w:szCs w:val="22"/>
              </w:rPr>
              <w:t xml:space="preserve">Mise en conformité vérifiée le 25 octobre 2026</w:t>
            </w:r>
          </w:p>
          <w:p>
            <w:pPr>
              <w:spacing w:after="100" w:line="276"/>
              <w:jc w:val="both"/>
            </w:pPr>
            <w:r>
              <w:rPr>
                <w:rFonts w:ascii="Cambria" w:cs="Cambria" w:eastAsia="Cambria" w:hAnsi="Cambria"/>
                <w:sz w:val="20"/>
                <w:szCs w:val="20"/>
              </w:rPr>
              <w:t xml:space="preserve">✅ Gouvernance et pilotage — portée arrêtée avec le chercheur avant le code (robot virtuel d'abord, accessoires, corps propre, partenaire, toucher simulé, voix et écrit) ; guide produit à partir du code versionné (commit e1015e9), qui fait foi.</w:t>
            </w:r>
          </w:p>
          <w:p>
            <w:pPr>
              <w:spacing w:after="100" w:line="276"/>
              <w:jc w:val="both"/>
            </w:pPr>
            <w:r>
              <w:rPr>
                <w:rFonts w:ascii="Cambria" w:cs="Cambria" w:eastAsia="Cambria" w:hAnsi="Cambria"/>
                <w:sz w:val="20"/>
                <w:szCs w:val="20"/>
              </w:rPr>
              <w:t xml:space="preserve">✅ Transparence et documentation — fondements cités et vérifiés auprès des éditeurs ; valeurs de conception signalées (Inférence) ; tableaux de contacts, de forces et de consignes produits par le modèle et l'interprète réels, sans retouche.</w:t>
            </w:r>
          </w:p>
          <w:p>
            <w:pPr>
              <w:spacing w:after="100" w:line="276"/>
              <w:jc w:val="both"/>
            </w:pPr>
            <w:r>
              <w:rPr>
                <w:rFonts w:ascii="Cambria" w:cs="Cambria" w:eastAsia="Cambria" w:hAnsi="Cambria"/>
                <w:sz w:val="20"/>
                <w:szCs w:val="20"/>
              </w:rPr>
              <w:t xml:space="preserve">✅ Gestion des risques — force plafonnée sous le seuil de dommage de chaque objet sauf intention explicite ; force maximale bornée ; vocabulaire fermé revalidé par le pont ; la pince réelle ne reçoit que la fermeture globale, sous la couche de sécurité existante.</w:t>
            </w:r>
          </w:p>
          <w:p>
            <w:pPr>
              <w:spacing w:after="100" w:line="276"/>
              <w:jc w:val="both"/>
            </w:pPr>
            <w:r>
              <w:rPr>
                <w:rFonts w:ascii="Cambria" w:cs="Cambria" w:eastAsia="Cambria" w:hAnsi="Cambria"/>
                <w:sz w:val="20"/>
                <w:szCs w:val="20"/>
              </w:rPr>
              <w:t xml:space="preserve">✅ Responsabilité et imputabilité — chaque événement de main (prise, glissement, réflexe, dommage, chute) est consigné au journal ; douze tests automatisés couvrent la boucle perception-force-mouvement.</w:t>
            </w:r>
          </w:p>
          <w:p>
            <w:pPr>
              <w:spacing w:after="100" w:line="276"/>
              <w:jc w:val="both"/>
            </w:pPr>
            <w:r>
              <w:rPr>
                <w:rFonts w:ascii="Cambria" w:cs="Cambria" w:eastAsia="Cambria" w:hAnsi="Cambria"/>
                <w:sz w:val="20"/>
                <w:szCs w:val="20"/>
              </w:rPr>
              <w:t xml:space="preserve">✅ Éthique et parties prenantes — le partenaire touché est virtuel ; le toucher d'une personne réelle par un robot n'est pas pris en charge ; les limites du modèle sont exposées (section 11).</w:t>
            </w:r>
          </w:p>
        </w:tc>
      </w:tr>
    </w:tbl>
    <w:p>
      <w:pPr>
        <w:spacing w:after="12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F6B7A"/>
        <w:sz w:val="16"/>
        <w:szCs w:val="16"/>
      </w:rPr>
      <w:t xml:space="preserve">ROBO-SCÈNE · Mains à cinq doigts · v1.0 · 25 oct. 2026 · page </w:t>
    </w:r>
    <w:r>
      <w:rPr>
        <w:rFonts w:ascii="Cambria" w:cs="Cambria" w:eastAsia="Cambria" w:hAnsi="Cambria"/>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sz w:val="28"/>
      <w:szCs w:val="28"/>
    </w:rPr>
  </w:style>
  <w:style w:type="paragraph" w:styleId="Heading2">
    <w:name w:val="Heading 2"/>
    <w:basedOn w:val="Normal"/>
    <w:next w:val="Normal"/>
    <w:qFormat/>
    <w:pPr>
      <w:outlineLvl w:val="1"/>
    </w:pPr>
    <w:rPr>
      <w:rFonts w:ascii="Cambria" w:cs="Cambria" w:eastAsia="Cambria" w:hAnsi="Cambria"/>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des mains à cinq doigts du robot virtuel</dc:title>
  <dc:creator>Sylvain Gagné, Ph. D.</dc:creator>
  <cp:lastModifiedBy>Un-named</cp:lastModifiedBy>
  <cp:revision>1</cp:revision>
  <dcterms:created xsi:type="dcterms:W3CDTF">2026-10-25T22:31:24.057Z</dcterms:created>
  <dcterms:modified xsi:type="dcterms:W3CDTF">2026-10-25T22:31:24.058Z</dcterms:modified>
</cp:coreProperties>
</file>

<file path=docProps/custom.xml><?xml version="1.0" encoding="utf-8"?>
<Properties xmlns="http://schemas.openxmlformats.org/officeDocument/2006/custom-properties" xmlns:vt="http://schemas.openxmlformats.org/officeDocument/2006/docPropsVTypes"/>
</file>