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224"/>
          <w:sz w:val="18"/>
          <w:szCs w:val="18"/>
        </w:rPr>
        <w:t xml:space="preserve">PILOTAGE · LIVRAISON LOGICIELLE · EXTENSION O-14</w:t>
      </w:r>
    </w:p>
    <w:p>
      <w:pPr>
        <w:spacing w:after="120"/>
      </w:pPr>
      <w:r>
        <w:rPr>
          <w:b/>
          <w:bCs/>
          <w:sz w:val="44"/>
          <w:szCs w:val="44"/>
        </w:rPr>
        <w:t xml:space="preserve">Le chien de scène de ROBO-SCÈNE</w:t>
      </w:r>
    </w:p>
    <w:p>
      <w:pPr>
        <w:spacing w:after="120" w:line="288"/>
        <w:jc w:val="both"/>
      </w:pPr>
      <w:r>
        <w:rPr>
          <w:i/>
          <w:iCs/>
        </w:rPr>
        <w:t xml:space="preserve">Un quadrupède virtuel qui marche sur le plateau, descend en salle et prend la pose, une console conçue d'abord pour lui, et une liaison, gardée par le pont, vers un chien robotique réel</w:t>
      </w:r>
    </w:p>
    <w:p>
      <w:pPr>
        <w:spacing w:after="120" w:line="288"/>
        <w:jc w:val="both"/>
      </w:pPr>
      <w:r>
        <w:rPr>
          <w:b/>
          <w:bCs/>
        </w:rPr>
        <w:t xml:space="preserve">Projet : </w:t>
      </w:r>
      <w:r>
        <w:t xml:space="preserve">« L'IA au service de la création théâtrale » — recherche indépendante et autofinancée</w:t>
      </w:r>
    </w:p>
    <w:p>
      <w:pPr>
        <w:spacing w:after="120" w:line="288"/>
        <w:jc w:val="both"/>
      </w:pPr>
      <w:r>
        <w:rPr>
          <w:b/>
          <w:bCs/>
        </w:rPr>
        <w:t xml:space="preserve">Auteur : </w:t>
      </w:r>
      <w:r>
        <w:t xml:space="preserve">Sylvain Gagné, Ph. D., chercheur indépendant non affilié et autofinancé (IA, robotique et théâtre)</w:t>
      </w:r>
    </w:p>
    <w:p>
      <w:pPr>
        <w:spacing w:after="120" w:line="288"/>
        <w:jc w:val="both"/>
      </w:pPr>
      <w:r>
        <w:rPr>
          <w:b/>
          <w:bCs/>
        </w:rPr>
        <w:t xml:space="preserve">Version et date : </w:t>
      </w:r>
      <w:r>
        <w:t xml:space="preserve">1.0 — 19 octobre 2026 ; fonction O-14 ajoutée à la table de couverture (60 fonctions)</w:t>
      </w:r>
    </w:p>
    <w:p>
      <w:pPr>
        <w:spacing w:after="120" w:line="288"/>
        <w:jc w:val="both"/>
      </w:pPr>
      <w:r>
        <w:rPr>
          <w:b/>
          <w:bCs/>
        </w:rPr>
        <w:t xml:space="preserve">Dépôt : </w:t>
      </w:r>
      <w:r>
        <w:t xml:space="preserve">Robo-Scène (GitHub, dépôt public) ; page /chien, servie par le pont local et publiée sur Netlify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Convention de lecture</w:t>
            </w:r>
          </w:p>
          <w:p>
            <w:pPr>
              <w:spacing w:after="80" w:line="276"/>
            </w:pPr>
            <w:r>
              <w:rPr>
                <w:sz w:val="20"/>
                <w:szCs w:val="20"/>
              </w:rPr>
              <w:t xml:space="preserve">Les faits tirés de sources externes sont cités dans le texte selon la norme MLA (9e éd.) et repris dans les ouvrages cités ; les faits tirés du code renvoient au fichier concerné et sont vérifiés par les tests automatisés de tests/test_chien.py.</w:t>
            </w:r>
          </w:p>
          <w:p>
            <w:pPr>
              <w:spacing w:after="80" w:line="276"/>
            </w:pPr>
            <w:r>
              <w:rPr>
                <w:sz w:val="20"/>
                <w:szCs w:val="20"/>
              </w:rPr>
              <w:t xml:space="preserve">Toute proposition qui ne découle ni d'une source consultée ni d'un essai exécuté est précédée de la mention (Inférence).</w:t>
            </w:r>
          </w:p>
        </w:tc>
      </w:tr>
    </w:tbl>
    <w:p>
      <w:pPr>
        <w:spacing w:after="100" w:before="200"/>
      </w:pPr>
      <w:r>
        <w:rPr>
          <w:b/>
          <w:bCs/>
          <w:sz w:val="26"/>
          <w:szCs w:val="26"/>
        </w:rPr>
        <w:t xml:space="preserve">Sommaire</w:t>
      </w:r>
    </w:p>
    <w:p>
      <w:pPr>
        <w:spacing w:after="40"/>
        <w:ind w:left="360"/>
      </w:pPr>
      <w:r>
        <w:rPr>
          <w:sz w:val="21"/>
          <w:szCs w:val="21"/>
        </w:rPr>
        <w:t xml:space="preserve">1. Ce qui a été livré</w:t>
      </w:r>
    </w:p>
    <w:p>
      <w:pPr>
        <w:spacing w:after="40"/>
        <w:ind w:left="360"/>
      </w:pPr>
      <w:r>
        <w:rPr>
          <w:sz w:val="21"/>
          <w:szCs w:val="21"/>
        </w:rPr>
        <w:t xml:space="preserve">2. Parcours de la page</w:t>
      </w:r>
    </w:p>
    <w:p>
      <w:pPr>
        <w:spacing w:after="40"/>
        <w:ind w:left="360"/>
      </w:pPr>
      <w:r>
        <w:rPr>
          <w:sz w:val="21"/>
          <w:szCs w:val="21"/>
        </w:rPr>
        <w:t xml:space="preserve">3. Le sol praticable</w:t>
      </w:r>
    </w:p>
    <w:p>
      <w:pPr>
        <w:spacing w:after="40"/>
        <w:ind w:left="360"/>
      </w:pPr>
      <w:r>
        <w:rPr>
          <w:sz w:val="21"/>
          <w:szCs w:val="21"/>
        </w:rPr>
        <w:t xml:space="preserve">4. Le corps, la marche, les postures et les allures</w:t>
      </w:r>
    </w:p>
    <w:p>
      <w:pPr>
        <w:spacing w:after="40"/>
        <w:ind w:left="360"/>
      </w:pPr>
      <w:r>
        <w:rPr>
          <w:sz w:val="21"/>
          <w:szCs w:val="21"/>
        </w:rPr>
        <w:t xml:space="preserve">5. Passer au chien réel</w:t>
      </w:r>
    </w:p>
    <w:p>
      <w:pPr>
        <w:spacing w:after="40"/>
        <w:ind w:left="360"/>
      </w:pPr>
      <w:r>
        <w:rPr>
          <w:sz w:val="21"/>
          <w:szCs w:val="21"/>
        </w:rPr>
        <w:t xml:space="preserve">6. Précédents et portée dramaturgique</w:t>
      </w:r>
    </w:p>
    <w:p>
      <w:pPr>
        <w:spacing w:after="40"/>
        <w:ind w:left="360"/>
      </w:pPr>
      <w:r>
        <w:rPr>
          <w:sz w:val="21"/>
          <w:szCs w:val="21"/>
        </w:rPr>
        <w:t xml:space="preserve">7. Décisions et actions qui vous reviennent</w:t>
      </w:r>
    </w:p>
    <w:p>
      <w:pPr>
        <w:spacing w:after="40"/>
        <w:ind w:left="360"/>
      </w:pPr>
      <w:r>
        <w:rPr>
          <w:sz w:val="21"/>
          <w:szCs w:val="21"/>
        </w:rPr>
        <w:t xml:space="preserve">8. Limites</w:t>
      </w:r>
    </w:p>
    <w:p>
      <w:pPr>
        <w:spacing w:after="40"/>
        <w:ind w:left="360"/>
      </w:pPr>
      <w:r>
        <w:rPr>
          <w:sz w:val="21"/>
          <w:szCs w:val="21"/>
        </w:rPr>
        <w:t xml:space="preserve">Ouvrages cités ; encadré de conformité ISO/IEC 42001</w:t>
      </w:r>
    </w:p>
    <w:p>
      <w:pPr>
        <w:pStyle w:val="Heading1"/>
        <w:spacing w:after="140" w:before="300"/>
      </w:pPr>
      <w:r>
        <w:t xml:space="preserve">1. Ce qui a été livré</w:t>
      </w:r>
    </w:p>
    <w:p>
      <w:pPr>
        <w:spacing w:after="120" w:line="288"/>
        <w:jc w:val="both"/>
      </w:pPr>
      <w:r>
        <w:t xml:space="preserve">La demande portait sur l'ajout d'un robot chien « de la même manière et avec la même logique » que le drone de scène ; la livraison reprend donc, presque terme pour terme, l'architecture déjà éprouvée : une page autonome, /chien, insérée dans la barre de navigation commune ; une description unique de la salle, partagée entre le navigateur et le pont ; un modèle virtuel qui fonctionne sans pont ; un contrôleur du pont qui garde le passage au robot réel ; des adaptateurs par famille de protocole ; des tests qui vérifient la parité des deux implantations de la règle. On pourrait dire que le drone a servi de gabarit et que le chien en éprouve la généralité, puisque ce qui changeait, pour l'essentiel, était la nature de l'espace, l'air pour l'un, le sol pour l'autre.</w:t>
      </w:r>
    </w:p>
    <w:p>
      <w:pPr>
        <w:spacing w:after="120" w:line="288"/>
        <w:jc w:val="both"/>
      </w:pPr>
      <w:r>
        <w:t xml:space="preserve">Deux pièces sont partagées plutôt que dupliquées : le théâtre en trois dimensions, dont la page du chien hérite pour y ajouter les escaliers d'accès à la salle et le quadrupède, et la caméra (image fixe à 3840 × 2160, enregistrement virtuel, flux réel par carte de capture ou par WHEP, affichage seul), que les deux pages importent du même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Indicateur</w:t>
            </w:r>
          </w:p>
        </w:tc>
        <w:tc>
          <w:tcPr>
            <w:tcW w:type="dxa" w:w="6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Valeur vérifiée (19 oct. 2026)</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Fichiers ajoutés</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web/chien.html ; web/chien/ (sol, chien, conduite, théâtre 3D, app, styles) ; bridge/chien/ (sol, adaptateurs, contrôleur) ; bloc « sol » de web/drone/salle.json ; tests/test_chien.py</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Fonction de la table de couverture</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O-14 « Chien de scène », état « réalisé, à éprouver »</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Tests du chien</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10 réussis : parité du sol sur 4 000 points × 3 modes, cinématique inverse, parcours plateau → escalier → avant-salle → allée, bord de scène, ARRÊT, coupure, batterie, perte de liaison, pont, chien de garde, conditions du réel par un serveur rosbridge factice, jetons Petoi</w:t>
            </w:r>
          </w:p>
        </w:tc>
      </w:tr>
      <w:tr>
        <w:tc>
          <w:tcPr>
            <w:tcW w:type="dxa" w:w="30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Essais dans un navigateur</w:t>
            </w:r>
          </w:p>
        </w:tc>
        <w:tc>
          <w:tcPr>
            <w:tcW w:type="dxa" w:w="6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Chromium sans écran : page chargée sans erreur, postures rendues (debout, assis, patte, étirement, couché), caméra de tête, liaison au chien simulé du pont</w:t>
            </w:r>
          </w:p>
        </w:tc>
      </w:tr>
    </w:tbl>
    <w:p>
      <w:pPr>
        <w:pStyle w:val="Heading1"/>
        <w:spacing w:after="140" w:before="300"/>
      </w:pPr>
      <w:r>
        <w:t xml:space="preserve">2. Parcours de la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Onglet</w:t>
            </w:r>
          </w:p>
        </w:tc>
        <w:tc>
          <w:tcPr>
            <w:tcW w:type="dxa" w:w="76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Contenu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Marche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Destination des commandes (chien virtuel, ou chien réel dont le virtuel devient le jumeau) ; se lever, s'arrêter, se coucher, retour à la marque, réarmer ; six postures ; six allures ; manettes, clavier, manette de jeu ; aller à un repère ou au point cliqué ; couleur des yeux ; coupure confirmée par « COUPER ».</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Conduite</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Repères au GO (Entrée) ou d'affilée : se lever, se coucher, posture, allure, aller, tourner, attendre, regarder ; bilan de validation ; import et export JSON. Exemple : « Le chien du veilleur », quatorze repères.</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Caméra de tête virtuelle (regard orientable vers la salle ou un repère), image fixe à 3840 × 2160, enregistrement WebM ; caméra réelle affichée seulement ; superposition pour caler le jumeau.</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Zones</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Trois modes, interprètes placés d'un clic, règles chiffrées, vérification d'un point et de la hauteur du sol.</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Chien réel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du pont, conditions en pastilles, liste de contrôle à signer, télémétrie.</w:t>
            </w:r>
          </w:p>
        </w:tc>
      </w:tr>
      <w:tr>
        <w:tc>
          <w:tcPr>
            <w:tcW w:type="dxa" w:w="1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Journal</w:t>
            </w:r>
          </w:p>
        </w:tc>
        <w:tc>
          <w:tcPr>
            <w:tcW w:type="dxa" w:w="76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Événements, refus et alertes ; export JSON nommé [DATE]_[SYSTÈME]_MARCHE_[NUMÉRO], sans image.</w:t>
            </w:r>
          </w:p>
        </w:tc>
      </w:tr>
    </w:tbl>
    <w:p>
      <w:pPr>
        <w:pStyle w:val="Heading1"/>
        <w:spacing w:after="140" w:before="300"/>
      </w:pPr>
      <w:r>
        <w:t xml:space="preserve">3. Le sol praticable</w:t>
      </w:r>
    </w:p>
    <w:p>
      <w:pPr>
        <w:spacing w:after="120" w:line="288"/>
        <w:jc w:val="both"/>
      </w:pPr>
      <w:r>
        <w:t xml:space="preserve">Le bloc « sol » ajouté à salle.json décrit, dans les mêmes cotes que le drone, les surfaces où le robot peut poser les pattes : le plateau ; deux escaliers, à cour et à jardin, qui descendent de 1,2 m sur 1,2 m de profondeur ; l'avant-salle, devant le premier rang ; l'allée centrale, en pente douce. Chaque surface porte sa hauteur, interpolée d'un bord à l'autre, et sa vitesse maximale (1,0 m/s sur le plateau, 0,3 m/s dans les escaliers, 0,6 m/s en salle). La fosse, entre le nez de scène et l'avant-salle, n'est pas praticable : il semble que ce soit là le risque propre au robot au sol, la chute depuis le plateau, que la règle devait exclure par construction plutôt que par vigilance.</w:t>
      </w:r>
    </w:p>
    <w:p>
      <w:pPr>
        <w:pStyle w:val="ListParagraph"/>
        <w:numPr>
          <w:ilvl w:val="0"/>
          <w:numId w:val="2"/>
        </w:numPr>
        <w:spacing w:after="80" w:line="276"/>
        <w:jc w:val="both"/>
      </w:pPr>
      <w:r>
        <w:t xml:space="preserve">le carré de 0,4 m de demi-côté qui entoure le robot doit tenir tout entier sur les surfaces du mode, ce qui l'écarte du nez de scène, de la fosse et des rangées, sauf par les escaliers ;</w:t>
      </w:r>
    </w:p>
    <w:p>
      <w:pPr>
        <w:pStyle w:val="ListParagraph"/>
        <w:numPr>
          <w:ilvl w:val="0"/>
          <w:numId w:val="2"/>
        </w:numPr>
        <w:spacing w:after="80" w:line="276"/>
        <w:jc w:val="both"/>
      </w:pPr>
      <w:r>
        <w:t xml:space="preserve">aucun point de ce carré ne doit toucher un obstacle au sol (cadre de scène, éléments de décor déclarés dans « decor ») ;</w:t>
      </w:r>
    </w:p>
    <w:p>
      <w:pPr>
        <w:pStyle w:val="ListParagraph"/>
        <w:numPr>
          <w:ilvl w:val="0"/>
          <w:numId w:val="2"/>
        </w:numPr>
        <w:spacing w:after="80" w:line="276"/>
        <w:jc w:val="both"/>
      </w:pPr>
      <w:r>
        <w:t xml:space="preserve">en représentation, le centre reste à plus de 1 m (0,4 + 0,6) de chaque rangée et la vitesse tombe à 0,4 m/s hors du plateau ; l'allée centrale, large de 1,8 m entre deux blocs, se ferme ainsi d'elle-même, tandis que reste ouverte une bande étroite de l'avant-salle ;</w:t>
      </w:r>
    </w:p>
    <w:p>
      <w:pPr>
        <w:pStyle w:val="ListParagraph"/>
        <w:numPr>
          <w:ilvl w:val="0"/>
          <w:numId w:val="2"/>
        </w:numPr>
        <w:spacing w:after="80" w:line="276"/>
        <w:jc w:val="both"/>
      </w:pPr>
      <w:r>
        <w:t xml:space="preserve">chaque interprète déclaré est entouré d'un cercle de 1,2 m.</w:t>
      </w:r>
    </w:p>
    <w:p>
      <w:pPr>
        <w:spacing w:after="120" w:line="288"/>
        <w:jc w:val="both"/>
      </w:pPr>
      <w:r>
        <w:t xml:space="preserve">La page et le pont appliquent la même règle, l'une en JavaScript (web/chien/sol.js), l'autre en Python (bridge/chien/sol.py) ; un test les confronte sur 4 000 points dans chacun des trois modes. (Inférence) Les marges et les vitesses sont des valeurs de départ prudentes, à arrêter par l'analyse de risques propre au robot, au sol (glissance, câbles, trappes) et au public, puis à consigner dans salle.json, que relisent sans autre modification la page et le pont.</w:t>
      </w:r>
    </w:p>
    <w:p>
      <w:pPr>
        <w:pStyle w:val="Heading1"/>
        <w:spacing w:after="140" w:before="300"/>
      </w:pPr>
      <w:r>
        <w:t xml:space="preserve">4. Le corps, la marche, les postures et les allures</w:t>
      </w:r>
    </w:p>
    <w:p>
      <w:pPr>
        <w:spacing w:after="120" w:line="288"/>
        <w:jc w:val="both"/>
      </w:pPr>
      <w:r>
        <w:t xml:space="preserve">Le quadrupède virtuel compte douze articulations, trois par patte (abduction et flexion de hanche, genou), avec des segments de 0,21 m et une hauteur debout de 0,30 m ; ce gabarit est voisin de celui d'un Unitree Go2, que iFixit décrit à 70 × 31 × 40 cm debout pour 15 kg (iFixit). La marche est un trot : les pattes diagonales s'appuient ensemble, en opposition de phase avec l'autre paire ; pendant l'appui, chaque pied recule sous le corps à la vitesse du sol ; pendant le transfert, il décrit un arc de levée ; une cinématique inverse à deux segments, augmentée de l'abduction, convertit ces positions en angles, et les tests vérifient qu'elle s'inverse exactement par la cinématique directe. Les trajets suivent, comme pour le drone, une loi à secousse minimale (Flash et Hogan 1688-1703), et le robot s'oriente dans le sens de sa marche, à la manière d'un animal plutôt que d'une plateforme qui glisse.</w:t>
      </w:r>
    </w:p>
    <w:p>
      <w:pPr>
        <w:spacing w:after="120" w:line="288"/>
        <w:jc w:val="both"/>
      </w:pPr>
      <w:r>
        <w:t xml:space="preserve">Six postures composent un premier lexique gestuel (debout, couché, assis, donner la patte, saluer, s'étirer en révérence) ; les pieds y sont fixés dans le repère horizontal de chaque hanche, puis ramenés dans le repère du corps incliné, de sorte que le chien assis garde ses appuis au sol. Six allures modulent la marche : neutre, joyeux, craintif, menaçant, fatigué, curieux, par la hauteur du corps, la cadence, la levée des pattes, la vitesse, le port et le balayage de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EEF2F8" w:color="auto" w:val="clear"/>
            <w:tcMar>
              <w:top w:type="dxa" w:w="120"/>
              <w:left w:type="dxa" w:w="160"/>
              <w:bottom w:type="dxa" w:w="120"/>
              <w:right w:type="dxa" w:w="160"/>
            </w:tcMar>
          </w:tcPr>
          <w:p>
            <w:pPr>
              <w:spacing w:after="100"/>
            </w:pPr>
            <w:r>
              <w:rPr>
                <w:b/>
                <w:bCs/>
              </w:rPr>
              <w:t xml:space="preserve">Les allures comme variations expressives</w:t>
            </w:r>
          </w:p>
          <w:p>
            <w:pPr>
              <w:spacing w:after="80" w:line="276"/>
            </w:pPr>
            <w:r>
              <w:rPr>
                <w:sz w:val="20"/>
                <w:szCs w:val="20"/>
              </w:rPr>
              <w:t xml:space="preserve">(Inférence) Les paramètres des allures sont des choix de conception, non des mesures : ils relèvent du même régime que les variations émotionnelles du partenaire (O-02) et devraient, avant tout usage analytique, être soumis à des juges à l'aveugle, afin de savoir si l'allure « craintive » est bien lue comme telle par un public, ce que ni le code ni ses tests ne peuvent établir.</w:t>
            </w:r>
          </w:p>
        </w:tc>
      </w:tr>
    </w:tbl>
    <w:p>
      <w:pPr>
        <w:spacing w:after="120" w:line="288"/>
        <w:jc w:val="both"/>
      </w:pPr>
      <w:r>
        <w:t xml:space="preserve">Les sécurités reproduisent celles d'un robot réel : arrêt au bord du sol praticable (le robot freine et longe la limite), retour à la marque à 20 % de batterie puis couché à 10 %, arrêt puis couché en cas de perte de liaison, ARRÊT freiné puis couché et verrouillé jusqu'au réarmement, coupure des moteurs confirmée, qui fait s'affaisser le robot.</w:t>
      </w:r>
    </w:p>
    <w:p>
      <w:pPr>
        <w:pStyle w:val="Heading1"/>
        <w:spacing w:after="140" w:before="300"/>
      </w:pPr>
      <w:r>
        <w:t xml:space="preserve">5. Passer au chien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Adaptateur</w:t>
            </w:r>
          </w:p>
        </w:tc>
        <w:tc>
          <w:tcPr>
            <w:tcW w:type="dxa" w:w="2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Robots visés</w:t>
            </w:r>
          </w:p>
        </w:tc>
        <w:tc>
          <w:tcPr>
            <w:tcW w:type="dxa" w:w="53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Remarques vérifiées ou à vérifier</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simulation</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Quadrupède cinématique dans le pont</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Répète toute la chaîne (page, pont, sécurités) sans robot ; ne compte pas comme marche réelle.</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rosbridge</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Quadrupèdes dotés d'un pilote ROS 2 ou ROS 1</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Le pont annonce puis publie geometry_msgs/Twist sur /cmd_vel et s'abonne à nav_msgs/Odometry sur /odom, selon les opérations advertise, publish et subscribe du protocole rosbridge (« ROSBRIDGE PROTOCOL ») ; postures et arrêt sur deux sujets de la plateforme, qu'un petit nœud, côté robot, traduit en commandes du fabricant. Pour le Go2, un pilote ROS 2 communautaire, non officiel, existe (go2_ros2_sdk) ; il n'a pas été essayé ici.</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petoi</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Petoi Bittle et Nybble (OpenCat)</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Jetons série documentés par Petoi : kbalance, ksit, khi, kstr, kwkF, kwkL, kwkR, kbk, et « d » pour le repos (Petoi) ; débit série et jeton « krest » à vérifier ; aucune odométrie, d'où une position estimée.</w:t>
            </w:r>
          </w:p>
        </w:tc>
      </w:tr>
      <w:tr>
        <w:tc>
          <w:tcPr>
            <w:tcW w:type="dxa" w:w="1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ligne_json</w:t>
            </w:r>
          </w:p>
        </w:tc>
        <w:tc>
          <w:tcPr>
            <w:tcW w:type="dxa" w:w="2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Ordinateur compagnon</w:t>
            </w:r>
          </w:p>
        </w:tc>
        <w:tc>
          <w:tcPr>
            <w:tcW w:type="dxa" w:w="53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JSON par ligne en UDP, dans le repère du théâtre ; protocole décrit dans PROTOCOLE.md.</w:t>
            </w:r>
          </w:p>
        </w:tc>
      </w:tr>
    </w:tbl>
    <w:p>
      <w:pPr>
        <w:spacing w:after="60"/>
      </w:pPr>
    </w:p>
    <w:p>
      <w:pPr>
        <w:spacing w:after="120" w:line="288"/>
        <w:jc w:val="both"/>
      </w:pPr>
      <w:r>
        <w:t xml:space="preserve">La chaîne de sécurité du pont est celle du drone, transposée au sol : aucun adaptateur réel ne s'ouvre tant que [chien] reel_autorise vaut false ; toute posture autre que « couché » et toute marche exigent l'observateur de sécurité déclaré dans la Console, la liste de contrôle de huit points cochée et signée, et le refus du mode « représentation » tant que [chien] marche_en_representation vaut false ; chaque destination et chaque trajet sont vérifiés contre le sol praticable ; les trajets sont suivis par poursuite d'une référence à secousse minimale, à 10 Hz, à partir de l'odométrie ; les consignes manuelles sont filtrées par le point d'arrêt prévu ; si la page se tait, le robot s'arrête après 0,5 s puis se couche après 3 s ; tout ARRÊT de la plateforme l'arrête et le couche, et la coupure des moteurs, confirmée, déclenche à son tour l'ARRÊT global. Se coucher reste toujours permis, puisque c'est la position sûre.</w:t>
      </w:r>
    </w:p>
    <w:p>
      <w:pPr>
        <w:spacing w:after="120" w:line="288"/>
        <w:jc w:val="both"/>
      </w:pPr>
      <w:r>
        <w:t xml:space="preserve">Le passage de l'odométrie du robot (X devant au départ, Y à gauche, lacet antihoraire) au repère du théâtre se règle dans [chien.repere] par la marque de départ et le lacet initial ; les tests vérifient l'aller-retour des positions et la conversion des quaternions.</w:t>
      </w:r>
    </w:p>
    <w:p>
      <w:pPr>
        <w:pStyle w:val="Heading1"/>
        <w:spacing w:after="140" w:before="300"/>
      </w:pPr>
      <w:r>
        <w:t xml:space="preserve">6. Précédents et portée dramaturgique</w:t>
      </w:r>
    </w:p>
    <w:p>
      <w:pPr>
        <w:spacing w:after="120" w:line="288"/>
        <w:jc w:val="both"/>
      </w:pPr>
      <w:r>
        <w:t xml:space="preserve">Le quadrupède a déjà une scène : Boston Dynamics rapporte que cinq Spot ont dansé en direct dans America's Got Talent, sur une chorégraphie construite à l'avance avec son logiciel Choreographer, au terme de plus de cent répétitions, et que l'un d'eux, victime d'une rare défaillance matérielle, est tombé avant de se relever et de rejoindre la danse, la régie ayant décidé de poursuivre « as long as everything was safe » (Hennick). L'équipe y fixe un seuil qui intéresse directement la régie théâtrale : un mouvement qui ne réussit que dans 70 % des cas peut suffire à une vidéo, mais il faut approcher au moins 90 % pour le direct (Hennick). (Inférence) La conduite au GO, validée avant d'être jouée, et le journal exportable de chaque essai donnent les moyens de mesurer ce taux de réussite repère par repère, au fil des répétitions.</w:t>
      </w:r>
    </w:p>
    <w:p>
      <w:pPr>
        <w:spacing w:after="120" w:line="288"/>
        <w:jc w:val="both"/>
      </w:pPr>
      <w:r>
        <w:t xml:space="preserve">(Inférence) Le chien de scène déplace la question que posait le drone : là où l'appareil volant se lisait comme lumière ou comme signe, le quadrupède appelle presque irrésistiblement l'animal et, avec lui, la projection affective ; les allures expressives et les postures de connivence (s'asseoir, donner la patte) en font un partenaire de jeu dont l'agentivité perçue pourra être confrontée, avec les instruments déjà prévus par le plan A.2, à celle du robot humanoïde et du drone.</w:t>
      </w:r>
    </w:p>
    <w:p>
      <w:pPr>
        <w:pStyle w:val="Heading1"/>
        <w:spacing w:after="140" w:before="300"/>
      </w:pPr>
      <w:r>
        <w:t xml:space="preserve">7. Décisions et actions qui vous reviennent</w:t>
      </w:r>
    </w:p>
    <w:p>
      <w:pPr>
        <w:spacing w:after="120" w:line="288"/>
        <w:jc w:val="both"/>
      </w:pPr>
      <w:r>
        <w:t xml:space="preserve">(Inférence) Ces éléments ne peuvent être tranchés par le logiciel ; ils sont ordonnés selon l'ordre dans lequel ils conditionnent le premier essai réel.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00"/>
        <w:gridCol w:w="3160"/>
      </w:tblGrid>
      <w:tr>
        <w:trPr>
          <w:tblHeader/>
        </w:trPr>
        <w:tc>
          <w:tcPr>
            <w:tcW w:type="dxa" w:w="5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w:t>
            </w:r>
          </w:p>
        </w:tc>
        <w:tc>
          <w:tcPr>
            <w:tcW w:type="dxa" w:w="570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Action</w:t>
            </w:r>
          </w:p>
        </w:tc>
        <w:tc>
          <w:tcPr>
            <w:tcW w:type="dxa" w:w="3160"/>
            <w:tcBorders>
              <w:top w:val="single" w:color="B8BEC9" w:sz="4"/>
              <w:left w:val="single" w:color="B8BEC9" w:sz="4"/>
              <w:bottom w:val="single" w:color="B8BEC9" w:sz="4"/>
              <w:right w:val="single" w:color="B8BEC9" w:sz="4"/>
            </w:tcBorders>
            <w:shd w:fill="1F2430" w:color="auto" w:val="clear"/>
            <w:tcMar>
              <w:top w:type="dxa" w:w="60"/>
              <w:left w:type="dxa" w:w="100"/>
              <w:bottom w:type="dxa" w:w="60"/>
              <w:right w:type="dxa" w:w="100"/>
            </w:tcMar>
          </w:tcPr>
          <w:p>
            <w:pPr>
              <w:spacing w:after="0"/>
            </w:pPr>
            <w:r>
              <w:rPr>
                <w:b/>
                <w:bCs/>
                <w:color w:val="FFFFFF"/>
                <w:sz w:val="19"/>
                <w:szCs w:val="19"/>
              </w:rPr>
              <w:t xml:space="preserve">Débloque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1</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Relever le sol de la salle (surfaces, escaliers ou rampes, fosse, décor) et compléter le bloc « sol » de salle.json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Toute répétition fidèle ; tout essai réel</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2</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Choisir le robot et la voie de commande (pilote ROS 2 et rosbridge, Petoi, ordinateur compagnon)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Adaptateur ; nœud de postures côté robot</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3</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Obtenir l'autorisation écrite du lieu et l'assurance couvrant un robot mobile parmi le public</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Point 8 de la liste de contrôle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4</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Mener l'analyse de risques (sol, escaliers, public, chute) et fixer marges et vitesses</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Valeurs définitives du bloc « sol »</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5</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Essai hors public : escaliers à vitesse réduite, perte de liaison, ARRÊT ; étalonner [chien.repere]</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Passage de reel_autorise à true</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6</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Premier essai réel en mode « plateau », observateur présent, consigné et clos par procès-verbal</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État « réalisé » de O-14</w:t>
            </w:r>
          </w:p>
        </w:tc>
      </w:tr>
      <w:tr>
        <w:tc>
          <w:tcPr>
            <w:tcW w:type="dxa" w:w="5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7</w:t>
            </w:r>
          </w:p>
        </w:tc>
        <w:tc>
          <w:tcPr>
            <w:tcW w:type="dxa" w:w="570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Faire valider les allures par des juges à l'aveugle, puis décider d'une éventuelle marche en représentation</w:t>
            </w:r>
          </w:p>
        </w:tc>
        <w:tc>
          <w:tcPr>
            <w:tcW w:type="dxa" w:w="3160"/>
            <w:tcBorders>
              <w:top w:val="single" w:color="B8BEC9" w:sz="4"/>
              <w:left w:val="single" w:color="B8BEC9" w:sz="4"/>
              <w:bottom w:val="single" w:color="B8BEC9" w:sz="4"/>
              <w:right w:val="single" w:color="B8BEC9" w:sz="4"/>
            </w:tcBorders>
            <w:tcMar>
              <w:top w:type="dxa" w:w="60"/>
              <w:left w:type="dxa" w:w="100"/>
              <w:bottom w:type="dxa" w:w="60"/>
              <w:right w:type="dxa" w:w="100"/>
            </w:tcMar>
          </w:tcPr>
          <w:p>
            <w:pPr>
              <w:spacing w:after="0"/>
            </w:pPr>
            <w:r>
              <w:rPr>
                <w:b w:val="false"/>
                <w:bCs w:val="false"/>
                <w:sz w:val="19"/>
                <w:szCs w:val="19"/>
              </w:rPr>
              <w:t xml:space="preserve">Usage analytique des allures ; marche_en_representation</w:t>
            </w:r>
          </w:p>
        </w:tc>
      </w:tr>
    </w:tbl>
    <w:p>
      <w:pPr>
        <w:pStyle w:val="Heading1"/>
        <w:spacing w:after="140" w:before="300"/>
      </w:pPr>
      <w:r>
        <w:t xml:space="preserve">8. Limites</w:t>
      </w:r>
    </w:p>
    <w:p>
      <w:pPr>
        <w:pStyle w:val="ListParagraph"/>
        <w:numPr>
          <w:ilvl w:val="0"/>
          <w:numId w:val="2"/>
        </w:numPr>
        <w:spacing w:after="80" w:line="276"/>
        <w:jc w:val="both"/>
      </w:pPr>
      <w:r>
        <w:t xml:space="preserve">Aucun robot physique n'a été commandé : l'adaptateur rosbridge a été éprouvé contre un serveur rosbridge factice qui intègre les consignes de vitesse, l'adaptateur Petoi contre un port série factice.</w:t>
      </w:r>
    </w:p>
    <w:p>
      <w:pPr>
        <w:pStyle w:val="ListParagraph"/>
        <w:numPr>
          <w:ilvl w:val="0"/>
          <w:numId w:val="2"/>
        </w:numPr>
        <w:spacing w:after="80" w:line="276"/>
        <w:jc w:val="both"/>
      </w:pPr>
      <w:r>
        <w:t xml:space="preserve">Le sujet de posture (std_msgs/String) est une convention de la plateforme : il faut écrire, pour chaque robot, le petit nœud qui le traduit en commandes du fabricant.</w:t>
      </w:r>
    </w:p>
    <w:p>
      <w:pPr>
        <w:pStyle w:val="ListParagraph"/>
        <w:numPr>
          <w:ilvl w:val="0"/>
          <w:numId w:val="2"/>
        </w:numPr>
        <w:spacing w:after="80" w:line="276"/>
        <w:jc w:val="both"/>
      </w:pPr>
      <w:r>
        <w:t xml:space="preserve">La plupart des quadrupèdes du commerce ont une caméra frontale fixe ; la tête orientable du chien virtuel est une liberté d'expression que le robot réel n'aura pas forcément.</w:t>
      </w:r>
    </w:p>
    <w:p>
      <w:pPr>
        <w:pStyle w:val="ListParagraph"/>
        <w:numPr>
          <w:ilvl w:val="0"/>
          <w:numId w:val="2"/>
        </w:numPr>
        <w:spacing w:after="80" w:line="276"/>
        <w:jc w:val="both"/>
      </w:pPr>
      <w:r>
        <w:t xml:space="preserve">La marche simulée ne reproduit ni le glissement des pieds, ni les chocs, ni la dynamique d'un vrai trot ; l'escalier est une pente continue, non une suite de marches.</w:t>
      </w:r>
    </w:p>
    <w:p>
      <w:pPr>
        <w:pStyle w:val="ListParagraph"/>
        <w:numPr>
          <w:ilvl w:val="0"/>
          <w:numId w:val="2"/>
        </w:numPr>
        <w:spacing w:after="80" w:line="276"/>
        <w:jc w:val="both"/>
      </w:pPr>
      <w:r>
        <w:t xml:space="preserve">Seule la barre de navigation est bilingue ; le contenu de la page Chien n'est encore qu'en français.</w:t>
      </w:r>
    </w:p>
    <w:p>
      <w:pPr>
        <w:pStyle w:val="Heading1"/>
        <w:spacing w:after="140" w:before="300"/>
      </w:pPr>
      <w:r>
        <w:t xml:space="preserve">Ouvrages cités</w:t>
      </w:r>
    </w:p>
    <w:p>
      <w:pPr>
        <w:spacing w:after="100" w:line="276"/>
        <w:ind w:left="720" w:hanging="720"/>
      </w:pPr>
      <w:r>
        <w:rPr>
          <w:sz w:val="21"/>
          <w:szCs w:val="21"/>
        </w:rPr>
        <w:t xml:space="preserve">Flash, Tamar, et Neville Hogan. « The Coordination of Arm Movements: An Experimentally Confirmed Mathematical Model. » The Journal of Neuroscience, vol. 5, 1985, p. 1688-1703.</w:t>
      </w:r>
    </w:p>
    <w:p>
      <w:pPr>
        <w:spacing w:after="100" w:line="276"/>
        <w:ind w:left="720" w:hanging="720"/>
      </w:pPr>
      <w:r>
        <w:rPr>
          <w:sz w:val="21"/>
          <w:szCs w:val="21"/>
        </w:rPr>
        <w:t xml:space="preserve">« go2_ros2_sdk: Unofficial ROS2 SDK Support for Unitree GO2 AIR/PRO/EDU. » GitHub, github.com/abizovnuralem/go2_ros2_sdk. Consulté le 19 oct. 2026.</w:t>
      </w:r>
    </w:p>
    <w:p>
      <w:pPr>
        <w:spacing w:after="100" w:line="276"/>
        <w:ind w:left="720" w:hanging="720"/>
      </w:pPr>
      <w:r>
        <w:rPr>
          <w:sz w:val="21"/>
          <w:szCs w:val="21"/>
        </w:rPr>
        <w:t xml:space="preserve">Hennick, Calvin. « Spot Takes the Stage. » Boston Dynamics, bostondynamics.com/blog/spot-takes-the-stage/. Consulté le 19 oct. 2026.</w:t>
      </w:r>
    </w:p>
    <w:p>
      <w:pPr>
        <w:spacing w:after="100" w:line="276"/>
        <w:ind w:left="720" w:hanging="720"/>
      </w:pPr>
      <w:r>
        <w:rPr>
          <w:sz w:val="21"/>
          <w:szCs w:val="21"/>
        </w:rPr>
        <w:t xml:space="preserve">iFixit. « Unitree Go2. » iFixit, www.ifixit.com/Device/Unitree_Go2. Consulté le 19 oct. 2026.</w:t>
      </w:r>
    </w:p>
    <w:p>
      <w:pPr>
        <w:spacing w:after="100" w:line="276"/>
        <w:ind w:left="720" w:hanging="720"/>
      </w:pPr>
      <w:r>
        <w:rPr>
          <w:sz w:val="21"/>
          <w:szCs w:val="21"/>
        </w:rPr>
        <w:t xml:space="preserve">ISO/IEC. ISO/IEC 42001:2023, Information Technology — Artificial Intelligence — Management System. Organisation internationale de normalisation, déc. 2023.</w:t>
      </w:r>
    </w:p>
    <w:p>
      <w:pPr>
        <w:spacing w:after="100" w:line="276"/>
        <w:ind w:left="720" w:hanging="720"/>
      </w:pPr>
      <w:r>
        <w:rPr>
          <w:sz w:val="21"/>
          <w:szCs w:val="21"/>
        </w:rPr>
        <w:t xml:space="preserve">Petoi. « Serial Protocol. » Petoi Doc Center, docs.petoi.com/apis/serial-protocol. Consulté le 19 oct. 2026.</w:t>
      </w:r>
    </w:p>
    <w:p>
      <w:pPr>
        <w:spacing w:after="100" w:line="276"/>
        <w:ind w:left="720" w:hanging="720"/>
      </w:pPr>
      <w:r>
        <w:rPr>
          <w:sz w:val="21"/>
          <w:szCs w:val="21"/>
        </w:rPr>
        <w:t xml:space="preserve">« ROSBRIDGE PROTOCOL. » rosbridge_suite, GitHub, github.com/p942005405/rosbridge_suite/blob/develop/ROSBRIDGE_PROTOCOL.md. Consulté le 19 oct. 2026.</w:t>
      </w:r>
    </w:p>
    <w:p>
      <w:pPr>
        <w:spacing w:after="120" w:line="288"/>
        <w:jc w:val="both"/>
      </w:pPr>
      <w:r>
        <w:rPr>
          <w:i/>
          <w:iCs/>
        </w:rPr>
        <w:t xml:space="preserve">Note : la spécification rosbridge a été consultée dans une copie du dépôt rosbridge_suite publiée sur GitHub ; la notice iFixit a été lue par un serveur mandataire d'iFixit. Les autres références ont été consultées en ligne le 19 octobre 2026 ; pour Flash et Hogan, le numéro du fascicule et le DOI, absents de la notice consultée, sont omis.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B544" w:sz="12"/>
              <w:left w:val="single" w:color="B8BEC9" w:sz="4"/>
              <w:bottom w:val="single" w:color="B8BEC9" w:sz="4"/>
              <w:right w:val="single" w:color="B8BEC9" w:sz="4"/>
            </w:tcBorders>
            <w:shd w:fill="F7F3E8" w:color="auto" w:val="clear"/>
            <w:tcMar>
              <w:top w:type="dxa" w:w="120"/>
              <w:left w:type="dxa" w:w="160"/>
              <w:bottom w:type="dxa" w:w="120"/>
              <w:right w:type="dxa" w:w="160"/>
            </w:tcMar>
          </w:tcPr>
          <w:p>
            <w:pPr>
              <w:spacing w:after="100"/>
            </w:pPr>
            <w:r>
              <w:rPr>
                <w:b/>
                <w:bCs/>
              </w:rPr>
              <w:t xml:space="preserve">Encadré final — Conformité ISO/IEC 42001 (livraison du chien de scène)</w:t>
            </w:r>
          </w:p>
          <w:p>
            <w:pPr>
              <w:spacing w:after="80" w:line="276"/>
            </w:pPr>
            <w:r>
              <w:rPr>
                <w:i/>
                <w:iCs/>
              </w:rPr>
              <w:t xml:space="preserve">Mise en conformité vérifiée le 19 octobre 2026</w:t>
            </w:r>
          </w:p>
          <w:p>
            <w:pPr>
              <w:spacing w:after="80" w:line="276"/>
            </w:pPr>
            <w:r>
              <w:rPr>
                <w:sz w:val="20"/>
                <w:szCs w:val="20"/>
              </w:rPr>
              <w:t xml:space="preserve">✅ Gouvernance et pilotage — fonction O-14 rattachée à son code, à ses tests et à son reste à faire ; décisions réservées au chercheur listées (section 7) ; marche réelle fermée par défaut.</w:t>
            </w:r>
          </w:p>
          <w:p>
            <w:pPr>
              <w:spacing w:after="80" w:line="276"/>
            </w:pPr>
            <w:r>
              <w:rPr>
                <w:sz w:val="20"/>
                <w:szCs w:val="20"/>
              </w:rPr>
              <w:t xml:space="preserve">✅ Transparence et documentation — sources citées selon MLA 9e ; paramètres de conception et conventions (sujet de posture, jetons à vérifier) signalés (Inférence) ; limites déclarées (section 8).</w:t>
            </w:r>
          </w:p>
          <w:p>
            <w:pPr>
              <w:spacing w:after="80" w:line="276"/>
            </w:pPr>
            <w:r>
              <w:rPr>
                <w:sz w:val="20"/>
                <w:szCs w:val="20"/>
              </w:rPr>
              <w:t xml:space="preserve">✅ Gestion des risques — sol praticable partagé et vérifié des deux côtés, chute du plateau exclue par construction, distance au public, cercles des interprètes, vitesses par surface, chiens de garde, ARRÊT global, coupure confirmée.</w:t>
            </w:r>
          </w:p>
          <w:p>
            <w:pPr>
              <w:spacing w:after="80" w:line="276"/>
            </w:pPr>
            <w:r>
              <w:rPr>
                <w:sz w:val="20"/>
                <w:szCs w:val="20"/>
              </w:rPr>
              <w:t xml:space="preserve">✅ Responsabilité et imputabilité — chaque commande consignée avec l'adaptateur, le mode et le motif des refus ; liste de contrôle et salle vide signées d'initiales ; fiche d'incident à chaque arrêt.</w:t>
            </w:r>
          </w:p>
          <w:p>
            <w:pPr>
              <w:spacing w:after="80" w:line="276"/>
            </w:pPr>
            <w:r>
              <w:rPr>
                <w:sz w:val="20"/>
                <w:szCs w:val="20"/>
              </w:rPr>
              <w:t xml:space="preserve">✅ Éthique et parties prenantes — aucune image réelle enregistrée (G-06) ; avertissement lorsque la caméra vise le public ; allures expressives soumises à validation par juges avant tout usage analytique.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Guide du chien de scène · v1.0 · S. Gagné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2430"/>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8A62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chien de scène ROBO-SCÈNE v1.0</dc:title>
  <dc:creator>Sylvain Gagné</dc:creator>
  <dc:description>Extension O-14 de la plateforme Robo-Scène</dc:description>
  <cp:lastModifiedBy>Un-named</cp:lastModifiedBy>
  <cp:revision>1</cp:revision>
  <dcterms:created xsi:type="dcterms:W3CDTF">2026-10-19T20:04:40.050Z</dcterms:created>
  <dcterms:modified xsi:type="dcterms:W3CDTF">2026-10-19T20:04:40.050Z</dcterms:modified>
</cp:coreProperties>
</file>

<file path=docProps/custom.xml><?xml version="1.0" encoding="utf-8"?>
<Properties xmlns="http://schemas.openxmlformats.org/officeDocument/2006/custom-properties" xmlns:vt="http://schemas.openxmlformats.org/officeDocument/2006/docPropsVTypes"/>
</file>