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8A6D1F"/>
          <w:sz w:val="26"/>
          <w:szCs w:val="26"/>
        </w:rPr>
        <w:t xml:space="preserve">ROBO-SCÈNE 2026</w:t>
      </w:r>
    </w:p>
    <w:p>
      <w:pPr>
        <w:spacing w:after="200" w:before="400"/>
        <w:jc w:val="center"/>
      </w:pPr>
      <w:r>
        <w:rPr>
          <w:b/>
          <w:bCs/>
          <w:sz w:val="48"/>
          <w:szCs w:val="48"/>
        </w:rPr>
        <w:t xml:space="preserve">Le robot virtuel humanoïde</w:t>
      </w:r>
    </w:p>
    <w:p>
      <w:pPr>
        <w:spacing w:after="600"/>
        <w:jc w:val="center"/>
      </w:pPr>
      <w:r>
        <w:rPr>
          <w:i/>
          <w:iCs/>
          <w:sz w:val="26"/>
          <w:szCs w:val="26"/>
        </w:rPr>
        <w:t xml:space="preserve">Un partenaire de scène en trois dimensions qui parle, exprime, imite et obéit aux directives écrites et vocales</w:t>
      </w:r>
    </w:p>
    <w:p>
      <w:pPr>
        <w:jc w:val="center"/>
      </w:pPr>
      <w:r>
        <w:rPr>
          <w:sz w:val="24"/>
          <w:szCs w:val="24"/>
        </w:rPr>
        <w:t xml:space="preserve">Guide d'utilisation et fondements — version 2.1</w:t>
      </w:r>
    </w:p>
    <w:p>
      <w:pPr>
        <w:spacing w:before="1200"/>
        <w:jc w:val="center"/>
      </w:pPr>
      <w:r>
        <w:rPr>
          <w:b/>
          <w:bCs/>
          <w:sz w:val="24"/>
          <w:szCs w:val="24"/>
        </w:rPr>
        <w:t xml:space="preserve">Sylvain Gagné, Ph. D.</w:t>
      </w:r>
    </w:p>
    <w:p>
      <w:pPr>
        <w:jc w:val="center"/>
      </w:pPr>
      <w:r>
        <w:rPr>
          <w:sz w:val="22"/>
          <w:szCs w:val="22"/>
        </w:rPr>
        <w:t xml:space="preserve">15 octobre 2026</w:t>
      </w:r>
    </w:p>
    <w:p>
      <w:r>
        <w:br w:type="page"/>
      </w:r>
    </w:p>
    <w:p>
      <w:pPr>
        <w:pStyle w:val="Heading1"/>
      </w:pPr>
      <w:r>
        <w:t xml:space="preserve">Table des matières</w:t>
      </w:r>
    </w:p>
    <w:sdt>
      <w:sdtPr>
        <w:alias w:val="Table des matière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Finalité : un corps de scène sans contrainte mécanique</w:t>
      </w:r>
    </w:p>
    <w:p>
      <w:pPr>
        <w:spacing w:after="140" w:line="300"/>
        <w:jc w:val="both"/>
      </w:pPr>
      <w:r>
        <w:t xml:space="preserve">Le robot physique de ROBO-SCÈNE, avec ses quatre articulations (base, épaule, coude, tête), suffit pour étudier la coprésence, mais il ne peut ni sourire, ni froncer les sourcils, ni marcher vers le côté cour en haussant les épaules. Le robot virtuel comble cet écart sans le dissimuler : il donne à la console et au partenaire de théâtre un </w:t>
      </w:r>
      <w:r>
        <w:rPr>
          <w:b/>
          <w:bCs/>
        </w:rPr>
        <w:t xml:space="preserve">corps humanoïde entier</w:t>
      </w:r>
      <w:r>
        <w:t xml:space="preserve">, rendu en trois dimensions dans le navigateur, qui respire, regarde, parle, exprime et se déplace sur un plateau figuré, et que l'on dirige comme on dirige un acteur, par la voix ou par l'écrit.</w:t>
      </w:r>
    </w:p>
    <w:p>
      <w:pPr>
        <w:spacing w:after="140" w:line="300"/>
        <w:jc w:val="both"/>
      </w:pPr>
      <w:r>
        <w:t xml:space="preserve">Trois usages ont guidé la conception. Le premier est la </w:t>
      </w:r>
      <w:r>
        <w:rPr>
          <w:b/>
          <w:bCs/>
        </w:rPr>
        <w:t xml:space="preserve">répétition</w:t>
      </w:r>
      <w:r>
        <w:t xml:space="preserve"> : lorsque la page Partenaire donne la réplique, le robot virtuel peut lui prêter sa voix, son visage et sa posture, ce qui transforme une lecture synthétique en présence adressée. Le second est la </w:t>
      </w:r>
      <w:r>
        <w:rPr>
          <w:b/>
          <w:bCs/>
        </w:rPr>
        <w:t xml:space="preserve">formation à la direction d'acteur</w:t>
      </w:r>
      <w:r>
        <w:t xml:space="preserve"> : l'élève ou le metteur en scène formule des indications (« recule de deux pas, baisse les yeux, sois las ») et en observe aussitôt la traduction corporelle. Le troisième est l'</w:t>
      </w:r>
      <w:r>
        <w:rPr>
          <w:b/>
          <w:bCs/>
        </w:rPr>
        <w:t xml:space="preserve">étude de l'expressivité</w:t>
      </w:r>
      <w:r>
        <w:t xml:space="preserve"> : l'émotion, son intensité, sa qualité d'effort et son rendu vocal deviennent des paramètres explicites, que l'on peut faire varier un à un.</w:t>
      </w:r>
    </w:p>
    <w:p>
      <w:pPr>
        <w:spacing w:after="140" w:line="300"/>
        <w:jc w:val="both"/>
      </w:pPr>
      <w:r>
        <w:t xml:space="preserve">(Inférence) Le robot virtuel ne ressent rien ; il </w:t>
      </w:r>
      <w:r>
        <w:rPr>
          <w:i/>
          <w:iCs/>
        </w:rPr>
        <w:t xml:space="preserve">figure</w:t>
      </w:r>
      <w:r>
        <w:t xml:space="preserve">. Ses expressions sont des signes composés à partir de descriptions publiées du visage et du mouvement humains, et le guide prend soin de ne jamais présenter ces signes comme des états vécus. Cette réserve prolonge celle du guide du partenaire, qui refusait déjà d'attribuer au robot des émotions éprouvées.</w:t>
      </w:r>
    </w:p>
    <w:p>
      <w:pPr>
        <w:pStyle w:val="Heading1"/>
      </w:pPr>
      <w:r>
        <w:t xml:space="preserve">2. Parti pris de figuration : la stylisation plutôt que l'illusion</w:t>
      </w:r>
    </w:p>
    <w:p>
      <w:pPr>
        <w:spacing w:after="140" w:line="300"/>
        <w:jc w:val="both"/>
      </w:pPr>
      <w:r>
        <w:t xml:space="preserve">Le personnage est un homme adulte entièrement </w:t>
      </w:r>
      <w:r>
        <w:rPr>
          <w:b/>
          <w:bCs/>
        </w:rPr>
        <w:t xml:space="preserve">procédural</w:t>
      </w:r>
      <w:r>
        <w:t xml:space="preserve"> : aucune maquette tierce, aucun visage de personne réelle, seulement des volumes simples (capsules, ellipsoïdes, tubes) assemblés sur un squelette de groupes dont les pivots coïncident avec les articulations. Ce choix répond d'abord à une exigence éthique et juridique, puisque aucun trait identifiable n'est reproduit, puis à une exigence esthétique que Masahiro Mori formulait dès 1970 : plutôt que de viser une ressemblance presque parfaite, qui expose à la chute d'affinité de la « vallée de l'étrange », il recommande aux concepteurs de prendre pour objectif le premier sommet, celui d'une ressemblance modérée qui suscite déjà une affinité considérable (Mori).</w:t>
      </w:r>
    </w:p>
    <w:p>
      <w:pPr>
        <w:spacing w:after="140" w:line="300"/>
        <w:jc w:val="both"/>
      </w:pPr>
      <w:r>
        <w:t xml:space="preserve">(Inférence) Au théâtre, cette stylisation présente un avantage supplémentaire : elle rapproche le robot virtuel de la marionnette et du masque, deux traditions où l'expressivité naît de la lisibilité du signe plutôt que de sa fidélité photographique. Le visage du personnage est donc volontairement simple, mais ses sourcils, ses paupières, ses yeux et ses lèvres sont mobiles et suffisent à porter les expressions décrites plus loin.</w:t>
      </w:r>
    </w:p>
    <w:p>
      <w:pPr>
        <w:pStyle w:val="Heading1"/>
      </w:pPr>
      <w:r>
        <w:t xml:space="preserve">3. Le corps : trente et un degrés de liberté</w:t>
      </w:r>
    </w:p>
    <w:p>
      <w:pPr>
        <w:spacing w:after="140" w:line="300"/>
        <w:jc w:val="both"/>
      </w:pPr>
      <w:r>
        <w:t xml:space="preserve">Le squelette compte trente et un degrés de liberté, décrits dans un fichier unique (</w:t>
      </w:r>
      <w:r>
        <w:rPr>
          <w:i/>
          <w:iCs/>
        </w:rPr>
        <w:t xml:space="preserve">web/avatar/schema.json</w:t>
      </w:r>
      <w:r>
        <w:t xml:space="preserve">) que lisent à la fois l'interface et le pont Python. Chaque degré possède des bornes anatomiques plausibles, et toute consigne, qu'elle vienne d'un curseur, d'une directive, d'une proposition de Claude ou de la caméra, est ramenée dans ces bornes avant d'être appliquée.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660"/>
      </w:tblGrid>
      <w:tr>
        <w:trPr>
          <w:tblHeader/>
        </w:trPr>
        <w:tc>
          <w:tcPr>
            <w:tcW w:type="dxa" w:w="1700"/>
            <w:tcBorders>
              <w:top w:val="single" w:color="BFBFBF" w:sz="4"/>
              <w:left w:val="single" w:color="BFBFBF" w:sz="4"/>
              <w:bottom w:val="single" w:color="BFBFBF" w:sz="4"/>
              <w:right w:val="single" w:color="BFBFBF" w:sz="4"/>
            </w:tcBorders>
            <w:shd w:fill="E8E2D0" w:color="auto" w:val="clear"/>
            <w:tcMar>
              <w:top w:type="dxa" w:w="70"/>
              <w:left w:type="dxa" w:w="110"/>
              <w:bottom w:type="dxa" w:w="70"/>
              <w:right w:type="dxa" w:w="110"/>
            </w:tcMar>
          </w:tcPr>
          <w:p>
            <w:pPr>
              <w:spacing w:after="0" w:line="250"/>
            </w:pPr>
            <w:r>
              <w:rPr>
                <w:b/>
                <w:bCs/>
                <w:sz w:val="19"/>
                <w:szCs w:val="19"/>
              </w:rPr>
              <w:t xml:space="preserve">Groupe</w:t>
            </w:r>
          </w:p>
        </w:tc>
        <w:tc>
          <w:tcPr>
            <w:tcW w:type="dxa" w:w="4000"/>
            <w:tcBorders>
              <w:top w:val="single" w:color="BFBFBF" w:sz="4"/>
              <w:left w:val="single" w:color="BFBFBF" w:sz="4"/>
              <w:bottom w:val="single" w:color="BFBFBF" w:sz="4"/>
              <w:right w:val="single" w:color="BFBFBF" w:sz="4"/>
            </w:tcBorders>
            <w:shd w:fill="E8E2D0" w:color="auto" w:val="clear"/>
            <w:tcMar>
              <w:top w:type="dxa" w:w="70"/>
              <w:left w:type="dxa" w:w="110"/>
              <w:bottom w:type="dxa" w:w="70"/>
              <w:right w:type="dxa" w:w="110"/>
            </w:tcMar>
          </w:tcPr>
          <w:p>
            <w:pPr>
              <w:spacing w:after="0" w:line="250"/>
            </w:pPr>
            <w:r>
              <w:rPr>
                <w:b/>
                <w:bCs/>
                <w:sz w:val="19"/>
                <w:szCs w:val="19"/>
              </w:rPr>
              <w:t xml:space="preserve">Degrés de liberté</w:t>
            </w:r>
          </w:p>
        </w:tc>
        <w:tc>
          <w:tcPr>
            <w:tcW w:type="dxa" w:w="3660"/>
            <w:tcBorders>
              <w:top w:val="single" w:color="BFBFBF" w:sz="4"/>
              <w:left w:val="single" w:color="BFBFBF" w:sz="4"/>
              <w:bottom w:val="single" w:color="BFBFBF" w:sz="4"/>
              <w:right w:val="single" w:color="BFBFBF" w:sz="4"/>
            </w:tcBorders>
            <w:shd w:fill="E8E2D0" w:color="auto" w:val="clear"/>
            <w:tcMar>
              <w:top w:type="dxa" w:w="70"/>
              <w:left w:type="dxa" w:w="110"/>
              <w:bottom w:type="dxa" w:w="70"/>
              <w:right w:type="dxa" w:w="110"/>
            </w:tcMar>
          </w:tcPr>
          <w:p>
            <w:pPr>
              <w:spacing w:after="0" w:line="250"/>
            </w:pPr>
            <w:r>
              <w:rPr>
                <w:b/>
                <w:bCs/>
                <w:sz w:val="19"/>
                <w:szCs w:val="19"/>
              </w:rPr>
              <w:t xml:space="preserve">Bornes principales</w:t>
            </w:r>
          </w:p>
        </w:tc>
      </w:tr>
      <w:tr>
        <w:trPr>
          <w:tblHeader w:val="false"/>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Tête et cou</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flexion, rotation, inclinaison</w:t>
            </w:r>
          </w:p>
        </w:tc>
        <w:tc>
          <w:tcPr>
            <w:tcW w:type="dxa" w:w="3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−45° à 50° ; ±80° ; ±40°</w:t>
            </w:r>
          </w:p>
        </w:tc>
      </w:tr>
      <w:tr>
        <w:trPr>
          <w:tblHeader w:val="false"/>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Tronc</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flexion, rotation, inclinaison latérale</w:t>
            </w:r>
          </w:p>
        </w:tc>
        <w:tc>
          <w:tcPr>
            <w:tcW w:type="dxa" w:w="3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−25° à 80° ; ±45° ; ±35°</w:t>
            </w:r>
          </w:p>
        </w:tc>
      </w:tr>
      <w:tr>
        <w:trPr>
          <w:tblHeader w:val="false"/>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Bassin</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abaissement (s'asseoir, s'accroupir, s'agenouiller)</w:t>
            </w:r>
          </w:p>
        </w:tc>
        <w:tc>
          <w:tcPr>
            <w:tcW w:type="dxa" w:w="3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0 à 55 cm</w:t>
            </w:r>
          </w:p>
        </w:tc>
      </w:tr>
      <w:tr>
        <w:trPr>
          <w:tblHeader w:val="false"/>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Bras (×2)</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épaule : flexion, abduction, rotation, haussement ; coude</w:t>
            </w:r>
          </w:p>
        </w:tc>
        <w:tc>
          <w:tcPr>
            <w:tcW w:type="dxa" w:w="3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−50° à 180° ; −10° à 175° ; ±90° ; 0 à 25° ; 0 à 150°</w:t>
            </w:r>
          </w:p>
        </w:tc>
      </w:tr>
      <w:tr>
        <w:trPr>
          <w:tblHeader w:val="false"/>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Mains (×2)</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poignet, fermeture des doigts</w:t>
            </w:r>
          </w:p>
        </w:tc>
        <w:tc>
          <w:tcPr>
            <w:tcW w:type="dxa" w:w="3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±70° ; 0 à 100 %</w:t>
            </w:r>
          </w:p>
        </w:tc>
      </w:tr>
      <w:tr>
        <w:trPr>
          <w:tblHeader w:val="false"/>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Jambes (×2)</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hanche : flexion, abduction, rotation ; genou ; cheville</w:t>
            </w:r>
          </w:p>
        </w:tc>
        <w:tc>
          <w:tcPr>
            <w:tcW w:type="dxa" w:w="3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−30° à 125° ; −20° à 50° ; ±40° ; 0 à 140° ; −40° à 45°</w:t>
            </w:r>
          </w:p>
        </w:tc>
      </w:tr>
    </w:tbl>
    <w:p>
      <w:pPr>
        <w:spacing w:after="220" w:before="80"/>
      </w:pPr>
      <w:r>
        <w:rPr>
          <w:i/>
          <w:iCs/>
          <w:sz w:val="19"/>
          <w:szCs w:val="19"/>
        </w:rPr>
        <w:t xml:space="preserve">Tableau 1. Degrés de liberté du robot virtuel (source : schema.json).</w:t>
      </w:r>
    </w:p>
    <w:p>
      <w:pPr>
        <w:pStyle w:val="Heading2"/>
      </w:pPr>
      <w:r>
        <w:t xml:space="preserve">3.1 Conventions scéniques</w:t>
      </w:r>
    </w:p>
    <w:p>
      <w:pPr>
        <w:spacing w:after="140" w:line="300"/>
        <w:jc w:val="both"/>
      </w:pPr>
      <w:r>
        <w:t xml:space="preserve">Les mots </w:t>
      </w:r>
      <w:r>
        <w:rPr>
          <w:i/>
          <w:iCs/>
        </w:rPr>
        <w:t xml:space="preserve">gauche</w:t>
      </w:r>
      <w:r>
        <w:t xml:space="preserve"> et </w:t>
      </w:r>
      <w:r>
        <w:rPr>
          <w:i/>
          <w:iCs/>
        </w:rPr>
        <w:t xml:space="preserve">droite</w:t>
      </w:r>
      <w:r>
        <w:t xml:space="preserve"> désignent les côtés du personnage, comme on le fait pour un acteur ; l'expression </w:t>
      </w:r>
      <w:r>
        <w:rPr>
          <w:i/>
          <w:iCs/>
        </w:rPr>
        <w:t xml:space="preserve">ma gauche</w:t>
      </w:r>
      <w:r>
        <w:t xml:space="preserve"> désigne la gauche de la personne qui regarde. Les termes du plateau suivent l'usage du théâtre : le côté cour est le « côté droit de la scène du point de vue des spectateurs et côté gauche de la scène du point de vue des acteurs » (Office québécois de la langue française), le côté jardin lui fait face, le lointain est au fond et l'avant-scène près du public.</w:t>
      </w:r>
    </w:p>
    <w:p>
      <w:pPr>
        <w:pStyle w:val="Heading2"/>
      </w:pPr>
      <w:r>
        <w:t xml:space="preserve">3.2 Mouvement : ressorts et qualités d'effort</w:t>
      </w:r>
    </w:p>
    <w:p>
      <w:pPr>
        <w:spacing w:after="140" w:line="300"/>
        <w:jc w:val="both"/>
      </w:pPr>
      <w:r>
        <w:t xml:space="preserve">Chaque articulation rejoint sa cible par un ressort amorti du second ordre dont la fréquence et l'amortissement dépendent des facteurs d'effort de Laban associés à l'émotion en cours. Un </w:t>
      </w:r>
      <w:r>
        <w:rPr>
          <w:i/>
          <w:iCs/>
        </w:rPr>
        <w:t xml:space="preserve">temps</w:t>
      </w:r>
      <w:r>
        <w:t xml:space="preserve"> soudain rend le ressort plus rapide, un </w:t>
      </w:r>
      <w:r>
        <w:rPr>
          <w:i/>
          <w:iCs/>
        </w:rPr>
        <w:t xml:space="preserve">flux</w:t>
      </w:r>
      <w:r>
        <w:t xml:space="preserve"> libre laisse une légère oscillation au terme du geste, un </w:t>
      </w:r>
      <w:r>
        <w:rPr>
          <w:i/>
          <w:iCs/>
        </w:rPr>
        <w:t xml:space="preserve">poids</w:t>
      </w:r>
      <w:r>
        <w:t xml:space="preserve"> fort accroît l'accélération, un </w:t>
      </w:r>
      <w:r>
        <w:rPr>
          <w:i/>
          <w:iCs/>
        </w:rPr>
        <w:t xml:space="preserve">espace</w:t>
      </w:r>
      <w:r>
        <w:t xml:space="preserve"> indirect fait dériver lentement le regard et les extrémités. Cette démarche s'inspire du modèle EMOTE de Chi, Costa, Zhao et Badler, qui paramètre déjà des mouvements de synthèse par les composantes d'effort et de forme de l'analyse laban (Chi et al. 173). Les valeurs d'effort et de prosodie sont identiques à celles du partenaire de théâtre, de sorte qu'une variation proposée dans la page Partenaire se rend de la même manière dans le corps virtuel ; un test automatique vérifie cette concordance.</w:t>
      </w:r>
    </w:p>
    <w:p>
      <w:pPr>
        <w:pStyle w:val="Heading2"/>
      </w:pPr>
      <w:r>
        <w:t xml:space="preserve">3.3 Présence</w:t>
      </w:r>
    </w:p>
    <w:p>
      <w:pPr>
        <w:spacing w:after="140" w:line="300"/>
        <w:jc w:val="both"/>
      </w:pPr>
      <w:r>
        <w:t xml:space="preserve">Un corps immobile paraît mort ; le robot virtuel superpose donc à la pose voulue une couche de </w:t>
      </w:r>
      <w:r>
        <w:rPr>
          <w:b/>
          <w:bCs/>
        </w:rPr>
        <w:t xml:space="preserve">présence</w:t>
      </w:r>
      <w:r>
        <w:t xml:space="preserve"> : respiration lente du thorax et des épaules, transfert de poids d'une jambe à l'autre, micro-mouvements de la tête, saccades du regard et clignements. La fréquence moyenne des clignements est réglée sur la valeur de repos rapportée par Bentivoglio et ses collègues, soit environ dix-sept clignements par minute (Bentivoglio et al. 1028), avec des intervalles aléatoires autour de cette moyenne. La case « présence vivante » permet de suspendre cette couche pour l'analyse d'une posture.</w:t>
      </w:r>
    </w:p>
    <w:p>
      <w:pPr>
        <w:pStyle w:val="Heading1"/>
      </w:pPr>
      <w:r>
        <w:t xml:space="preserve">4. Le visage et le répertoire émotionnel</w:t>
      </w:r>
    </w:p>
    <w:p>
      <w:pPr>
        <w:spacing w:after="140" w:line="300"/>
        <w:jc w:val="both"/>
      </w:pPr>
      <w:r>
        <w:t xml:space="preserve">Le visage est animé par </w:t>
      </w:r>
      <w:r>
        <w:rPr>
          <w:b/>
          <w:bCs/>
        </w:rPr>
        <w:t xml:space="preserve">unités d'action</w:t>
      </w:r>
      <w:r>
        <w:t xml:space="preserve"> du Facial Action Coding System, le système de codage d'Ekman, Friesen et Hager, qui décompose toute expression en contractions musculaires élémentaires (Ekman et al.). Les sept émotions dites prototypiques reçoivent leurs combinaisons usuelles ; les états propres au répertoire théâtral du partenaire, qui ne possèdent pas de prototype facial établi, sont des </w:t>
      </w:r>
      <w:r>
        <w:rPr>
          <w:b/>
          <w:bCs/>
        </w:rPr>
        <w:t xml:space="preserve">compositions de conception</w:t>
      </w:r>
      <w:r>
        <w:t xml:space="preserve">, signalées comme telles.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2650"/>
        <w:gridCol w:w="3100"/>
        <w:gridCol w:w="1960"/>
      </w:tblGrid>
      <w:tr>
        <w:trPr>
          <w:tblHeader/>
        </w:trPr>
        <w:tc>
          <w:tcPr>
            <w:tcW w:type="dxa" w:w="1650"/>
            <w:tcBorders>
              <w:top w:val="single" w:color="BFBFBF" w:sz="4"/>
              <w:left w:val="single" w:color="BFBFBF" w:sz="4"/>
              <w:bottom w:val="single" w:color="BFBFBF" w:sz="4"/>
              <w:right w:val="single" w:color="BFBFBF" w:sz="4"/>
            </w:tcBorders>
            <w:shd w:fill="E8E2D0" w:color="auto" w:val="clear"/>
            <w:tcMar>
              <w:top w:type="dxa" w:w="70"/>
              <w:left w:type="dxa" w:w="110"/>
              <w:bottom w:type="dxa" w:w="70"/>
              <w:right w:type="dxa" w:w="110"/>
            </w:tcMar>
          </w:tcPr>
          <w:p>
            <w:pPr>
              <w:spacing w:after="0" w:line="250"/>
            </w:pPr>
            <w:r>
              <w:rPr>
                <w:b/>
                <w:bCs/>
                <w:sz w:val="19"/>
                <w:szCs w:val="19"/>
              </w:rPr>
              <w:t xml:space="preserve">Émotion</w:t>
            </w:r>
          </w:p>
        </w:tc>
        <w:tc>
          <w:tcPr>
            <w:tcW w:type="dxa" w:w="2650"/>
            <w:tcBorders>
              <w:top w:val="single" w:color="BFBFBF" w:sz="4"/>
              <w:left w:val="single" w:color="BFBFBF" w:sz="4"/>
              <w:bottom w:val="single" w:color="BFBFBF" w:sz="4"/>
              <w:right w:val="single" w:color="BFBFBF" w:sz="4"/>
            </w:tcBorders>
            <w:shd w:fill="E8E2D0" w:color="auto" w:val="clear"/>
            <w:tcMar>
              <w:top w:type="dxa" w:w="70"/>
              <w:left w:type="dxa" w:w="110"/>
              <w:bottom w:type="dxa" w:w="70"/>
              <w:right w:type="dxa" w:w="110"/>
            </w:tcMar>
          </w:tcPr>
          <w:p>
            <w:pPr>
              <w:spacing w:after="0" w:line="250"/>
            </w:pPr>
            <w:r>
              <w:rPr>
                <w:b/>
                <w:bCs/>
                <w:sz w:val="19"/>
                <w:szCs w:val="19"/>
              </w:rPr>
              <w:t xml:space="preserve">Unités d'action (visage)</w:t>
            </w:r>
          </w:p>
        </w:tc>
        <w:tc>
          <w:tcPr>
            <w:tcW w:type="dxa" w:w="3100"/>
            <w:tcBorders>
              <w:top w:val="single" w:color="BFBFBF" w:sz="4"/>
              <w:left w:val="single" w:color="BFBFBF" w:sz="4"/>
              <w:bottom w:val="single" w:color="BFBFBF" w:sz="4"/>
              <w:right w:val="single" w:color="BFBFBF" w:sz="4"/>
            </w:tcBorders>
            <w:shd w:fill="E8E2D0" w:color="auto" w:val="clear"/>
            <w:tcMar>
              <w:top w:type="dxa" w:w="70"/>
              <w:left w:type="dxa" w:w="110"/>
              <w:bottom w:type="dxa" w:w="70"/>
              <w:right w:type="dxa" w:w="110"/>
            </w:tcMar>
          </w:tcPr>
          <w:p>
            <w:pPr>
              <w:spacing w:after="0" w:line="250"/>
            </w:pPr>
            <w:r>
              <w:rPr>
                <w:b/>
                <w:bCs/>
                <w:sz w:val="19"/>
                <w:szCs w:val="19"/>
              </w:rPr>
              <w:t xml:space="preserve">Posture et regard</w:t>
            </w:r>
          </w:p>
        </w:tc>
        <w:tc>
          <w:tcPr>
            <w:tcW w:type="dxa" w:w="1960"/>
            <w:tcBorders>
              <w:top w:val="single" w:color="BFBFBF" w:sz="4"/>
              <w:left w:val="single" w:color="BFBFBF" w:sz="4"/>
              <w:bottom w:val="single" w:color="BFBFBF" w:sz="4"/>
              <w:right w:val="single" w:color="BFBFBF" w:sz="4"/>
            </w:tcBorders>
            <w:shd w:fill="E8E2D0" w:color="auto" w:val="clear"/>
            <w:tcMar>
              <w:top w:type="dxa" w:w="70"/>
              <w:left w:type="dxa" w:w="110"/>
              <w:bottom w:type="dxa" w:w="70"/>
              <w:right w:type="dxa" w:w="110"/>
            </w:tcMar>
          </w:tcPr>
          <w:p>
            <w:pPr>
              <w:spacing w:after="0" w:line="250"/>
            </w:pPr>
            <w:r>
              <w:rPr>
                <w:b/>
                <w:bCs/>
                <w:sz w:val="19"/>
                <w:szCs w:val="19"/>
              </w:rPr>
              <w:t xml:space="preserve">Statut</w:t>
            </w:r>
          </w:p>
        </w:tc>
      </w:tr>
      <w:tr>
        <w:trPr>
          <w:tblHeader w:val="false"/>
        </w:trPr>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Joie</w:t>
            </w:r>
          </w:p>
        </w:tc>
        <w:tc>
          <w:tcPr>
            <w:tcW w:type="dxa" w:w="26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6 + 12 (+ 25)</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tête relevée, ouverture des bras</w:t>
            </w:r>
          </w:p>
        </w:tc>
        <w:tc>
          <w:tcPr>
            <w:tcW w:type="dxa" w:w="1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prototype FACS</w:t>
            </w:r>
          </w:p>
        </w:tc>
      </w:tr>
      <w:tr>
        <w:trPr>
          <w:tblHeader w:val="false"/>
        </w:trPr>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Tristesse</w:t>
            </w:r>
          </w:p>
        </w:tc>
        <w:tc>
          <w:tcPr>
            <w:tcW w:type="dxa" w:w="26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1 + 4 + 15 (+ 17, paupières basses)</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tête et tronc affaissés, regard bas</w:t>
            </w:r>
          </w:p>
        </w:tc>
        <w:tc>
          <w:tcPr>
            <w:tcW w:type="dxa" w:w="1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prototype FACS</w:t>
            </w:r>
          </w:p>
        </w:tc>
      </w:tr>
      <w:tr>
        <w:trPr>
          <w:tblHeader w:val="false"/>
        </w:trPr>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Surprise</w:t>
            </w:r>
          </w:p>
        </w:tc>
        <w:tc>
          <w:tcPr>
            <w:tcW w:type="dxa" w:w="26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1 + 2 + 5 + 26</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recul léger, bras écartés</w:t>
            </w:r>
          </w:p>
        </w:tc>
        <w:tc>
          <w:tcPr>
            <w:tcW w:type="dxa" w:w="1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prototype FACS</w:t>
            </w:r>
          </w:p>
        </w:tc>
      </w:tr>
      <w:tr>
        <w:trPr>
          <w:tblHeader w:val="false"/>
        </w:trPr>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Peur</w:t>
            </w:r>
          </w:p>
        </w:tc>
        <w:tc>
          <w:tcPr>
            <w:tcW w:type="dxa" w:w="26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1 + 2 + 4 + 5 + 7 + 20 + 26</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épaules hautes, mains protectrices</w:t>
            </w:r>
          </w:p>
        </w:tc>
        <w:tc>
          <w:tcPr>
            <w:tcW w:type="dxa" w:w="1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prototype FACS</w:t>
            </w:r>
          </w:p>
        </w:tc>
      </w:tr>
      <w:tr>
        <w:trPr>
          <w:tblHeader w:val="false"/>
        </w:trPr>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Colère</w:t>
            </w:r>
          </w:p>
        </w:tc>
        <w:tc>
          <w:tcPr>
            <w:tcW w:type="dxa" w:w="26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4 + 5 + 7 + 23 (+ 24)</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avancée du tronc, poings serrés</w:t>
            </w:r>
          </w:p>
        </w:tc>
        <w:tc>
          <w:tcPr>
            <w:tcW w:type="dxa" w:w="1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prototype FACS</w:t>
            </w:r>
          </w:p>
        </w:tc>
      </w:tr>
      <w:tr>
        <w:trPr>
          <w:tblHeader w:val="false"/>
        </w:trPr>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Dégoût</w:t>
            </w:r>
          </w:p>
        </w:tc>
        <w:tc>
          <w:tcPr>
            <w:tcW w:type="dxa" w:w="26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9 + 15 + 17 (+ 10)</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détournement de la tête, recul</w:t>
            </w:r>
          </w:p>
        </w:tc>
        <w:tc>
          <w:tcPr>
            <w:tcW w:type="dxa" w:w="1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prototype FACS</w:t>
            </w:r>
          </w:p>
        </w:tc>
      </w:tr>
      <w:tr>
        <w:trPr>
          <w:tblHeader w:val="false"/>
        </w:trPr>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Mépris</w:t>
            </w:r>
          </w:p>
        </w:tc>
        <w:tc>
          <w:tcPr>
            <w:tcW w:type="dxa" w:w="26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12 + 14 unilatéraux</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menton levé, rotation du tronc</w:t>
            </w:r>
          </w:p>
        </w:tc>
        <w:tc>
          <w:tcPr>
            <w:tcW w:type="dxa" w:w="1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prototype FACS</w:t>
            </w:r>
          </w:p>
        </w:tc>
      </w:tr>
      <w:tr>
        <w:trPr>
          <w:tblHeader w:val="false"/>
        </w:trPr>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Assurance</w:t>
            </w:r>
          </w:p>
        </w:tc>
        <w:tc>
          <w:tcPr>
            <w:tcW w:type="dxa" w:w="26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12 léger, 24</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tête légèrement en arrière, posture ouverte</w:t>
            </w:r>
          </w:p>
        </w:tc>
        <w:tc>
          <w:tcPr>
            <w:tcW w:type="dxa" w:w="1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composition inspirée de la fierté</w:t>
            </w:r>
          </w:p>
        </w:tc>
      </w:tr>
      <w:tr>
        <w:trPr>
          <w:tblHeader w:val="false"/>
        </w:trPr>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Tendresse, ironie, lassitude</w:t>
            </w:r>
          </w:p>
        </w:tc>
        <w:tc>
          <w:tcPr>
            <w:tcW w:type="dxa" w:w="26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sourire doux ; sourire et sourcil unilatéraux ; paupières lourdes</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inclinaison de la tête ; regard de biais ; affaissement</w:t>
            </w:r>
          </w:p>
        </w:tc>
        <w:tc>
          <w:tcPr>
            <w:tcW w:type="dxa" w:w="1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compositions de conception</w:t>
            </w:r>
          </w:p>
        </w:tc>
      </w:tr>
    </w:tbl>
    <w:p>
      <w:pPr>
        <w:spacing w:after="220" w:before="80"/>
      </w:pPr>
      <w:r>
        <w:rPr>
          <w:i/>
          <w:iCs/>
          <w:sz w:val="19"/>
          <w:szCs w:val="19"/>
        </w:rPr>
        <w:t xml:space="preserve">Tableau 2. Répertoire émotionnel : prototypes FACS selon Ekman et al. ; compositions signalées.</w:t>
      </w:r>
    </w:p>
    <w:p>
      <w:pPr>
        <w:spacing w:after="140" w:line="300"/>
        <w:jc w:val="both"/>
      </w:pPr>
      <w:r>
        <w:t xml:space="preserve">Pour l'assurance, la composition reprend les traits que Tracy et Robins décrivent dans l'expression de la fierté : un léger sourire, la tête légèrement inclinée vers l'arrière et une posture visiblement élargie (Tracy et Robins). Pour les postures en général, le robot virtuel s'inscrit dans la lignée des études de l'expression corporelle des émotions, dont celle de Wallbott, qui a montré que la posture et les mouvements des bras et de la tête permettent de distinguer de nombreuses émotions, et que la qualité du mouvement (activité, ampleur, énergie) pèse lourdement dans cette distinction (Wallbott). (Inférence) Les angles retenus pour chaque posture sont toutefois des choix de conception, non des mesures tirées de ces études.</w:t>
      </w:r>
    </w:p>
    <w:p>
      <w:pPr>
        <w:spacing w:after="140" w:line="300"/>
        <w:jc w:val="both"/>
      </w:pPr>
      <w:r>
        <w:t xml:space="preserve">Les expressions se combinent : on peut tenir un sourire en coin pendant une émotion de lassitude, ou superposer des sourcils levés à un sourire. L'intensité, de 0 à 10, module ensemble le visage, la posture, la qualité d'effort et la voix.</w:t>
      </w:r>
    </w:p>
    <w:p>
      <w:pPr>
        <w:pStyle w:val="Heading1"/>
      </w:pPr>
      <w:r>
        <w:t xml:space="preserve">5. La parole</w:t>
      </w:r>
    </w:p>
    <w:p>
      <w:pPr>
        <w:spacing w:after="140" w:line="300"/>
        <w:jc w:val="both"/>
      </w:pPr>
      <w:r>
        <w:t xml:space="preserve">La voix est celle de la synthèse vocale du navigateur (Web Speech API). L'interface choisit par défaut une voix française masculine lorsqu'elle en trouve une, et l'onglet </w:t>
      </w:r>
      <w:r>
        <w:rPr>
          <w:i/>
          <w:iCs/>
        </w:rPr>
        <w:t xml:space="preserve">Émotions et parole</w:t>
      </w:r>
      <w:r>
        <w:t xml:space="preserve"> permet d'en imposer une autre et de régler le registre. Le débit, la hauteur et le volume suivent l'émotion en cours selon la même arithmétique que le rendu vocal du partenaire ; </w:t>
      </w:r>
      <w:r>
        <w:rPr>
          <w:i/>
          <w:iCs/>
        </w:rPr>
        <w:t xml:space="preserve">chuchote</w:t>
      </w:r>
      <w:r>
        <w:t xml:space="preserve"> et </w:t>
      </w:r>
      <w:r>
        <w:rPr>
          <w:i/>
          <w:iCs/>
        </w:rPr>
        <w:t xml:space="preserve">crie</w:t>
      </w:r>
      <w:r>
        <w:t xml:space="preserve"> modifient ces valeurs.</w:t>
      </w:r>
    </w:p>
    <w:p>
      <w:pPr>
        <w:spacing w:after="140" w:line="300"/>
        <w:jc w:val="both"/>
      </w:pPr>
      <w:r>
        <w:t xml:space="preserve">La bouche est synchronisée par </w:t>
      </w:r>
      <w:r>
        <w:rPr>
          <w:b/>
          <w:bCs/>
        </w:rPr>
        <w:t xml:space="preserve">visèmes</w:t>
      </w:r>
      <w:r>
        <w:t xml:space="preserve">, c'est-à-dire par formes de lèvres associées aux groupes de sons : ouverture pour /a/, arrondi pour /o/ et /u/, étirement pour /i/, fermeture pour /p/, /b/ et /m/, et ainsi de suite. Faute de transcription phonétique, ces formes sont déduites de la graphie française, ce qui reste approximatif mais lisible. Lorsque la voix émet des événements de frontière de mot, l'horloge des visèmes s'y recale ; l'événement </w:t>
      </w:r>
      <w:r>
        <w:rPr>
          <w:i/>
          <w:iCs/>
        </w:rPr>
        <w:t xml:space="preserve">boundary</w:t>
      </w:r>
      <w:r>
        <w:t xml:space="preserve"> n'étant pas pris en charge par tous les navigateurs courants (MDN Web Docs), un débit estimé prend le relais.</w:t>
      </w:r>
    </w:p>
    <w:p>
      <w:pPr>
        <w:spacing w:after="140" w:line="300"/>
        <w:jc w:val="both"/>
      </w:pPr>
      <w:r>
        <w:t xml:space="preserve">Pendant la parole, le personnage ponctue certains mots d'un léger mouvement de tête et d'un haussement de sourcils. Le principe vient de BEAT, la boîte à outils de Cassell, Vilhjálmsson et Bickmore, qui suggère des gestes de battement et des sourcils levés sur les éléments nouveaux de l'énoncé (Cassell et al.). (Inférence) Faute d'analyse informationnelle, le robot virtuel applique ces battements aux mots longs et aux fins de groupe, ce qui s'accorde avec l'accentuation finale du français ; cette correspondance relève de la conception et n'a pas été validée expérimentalement.</w:t>
      </w:r>
    </w:p>
    <w:p>
      <w:pPr>
        <w:pStyle w:val="Heading1"/>
      </w:pPr>
      <w:r>
        <w:t xml:space="preserve">6. Diriger par la voix et par l'écrit</w:t>
      </w:r>
    </w:p>
    <w:p>
      <w:pPr>
        <w:spacing w:after="140" w:line="300"/>
        <w:jc w:val="both"/>
      </w:pPr>
      <w:r>
        <w:t xml:space="preserve">Une directive, tapée ou dictée, traverse quatre étapes. Un </w:t>
      </w:r>
      <w:r>
        <w:rPr>
          <w:b/>
          <w:bCs/>
        </w:rPr>
        <w:t xml:space="preserve">interprète de règles</w:t>
      </w:r>
      <w:r>
        <w:t xml:space="preserve"> en français, qui fonctionne sans réseau, la découpe en propositions (</w:t>
      </w:r>
      <w:r>
        <w:rPr>
          <w:i/>
          <w:iCs/>
        </w:rPr>
        <w:t xml:space="preserve">puis</w:t>
      </w:r>
      <w:r>
        <w:t xml:space="preserve">, </w:t>
      </w:r>
      <w:r>
        <w:rPr>
          <w:i/>
          <w:iCs/>
        </w:rPr>
        <w:t xml:space="preserve">ensuite</w:t>
      </w:r>
      <w:r>
        <w:t xml:space="preserve">, virgules, </w:t>
      </w:r>
      <w:r>
        <w:rPr>
          <w:i/>
          <w:iCs/>
        </w:rPr>
        <w:t xml:space="preserve">et</w:t>
      </w:r>
      <w:r>
        <w:t xml:space="preserve">) et reconnaît pour chacune une partie du corps, un verbe, un côté, une mesure et une manière ; il produit des </w:t>
      </w:r>
      <w:r>
        <w:rPr>
          <w:b/>
          <w:bCs/>
        </w:rPr>
        <w:t xml:space="preserve">actions typées</w:t>
      </w:r>
      <w:r>
        <w:t xml:space="preserve"> (articulation, émotion, visage, geste, pose, déplacement, orientation, regard, parole, apparence, cadrage, lumière, mémoire). Ces actions sont </w:t>
      </w:r>
      <w:r>
        <w:rPr>
          <w:b/>
          <w:bCs/>
        </w:rPr>
        <w:t xml:space="preserve">validées</w:t>
      </w:r>
      <w:r>
        <w:t xml:space="preserve"> contre le schéma, bornées, puis </w:t>
      </w:r>
      <w:r>
        <w:rPr>
          <w:b/>
          <w:bCs/>
        </w:rPr>
        <w:t xml:space="preserve">exécutées</w:t>
      </w:r>
      <w:r>
        <w:t xml:space="preserve"> dans l'ordre. Ce que les règles ne comprennent pas est affiché en clair.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E8E2D0" w:color="auto" w:val="clear"/>
            <w:tcMar>
              <w:top w:type="dxa" w:w="70"/>
              <w:left w:type="dxa" w:w="110"/>
              <w:bottom w:type="dxa" w:w="70"/>
              <w:right w:type="dxa" w:w="110"/>
            </w:tcMar>
          </w:tcPr>
          <w:p>
            <w:pPr>
              <w:spacing w:after="0" w:line="250"/>
            </w:pPr>
            <w:r>
              <w:rPr>
                <w:b/>
                <w:bCs/>
                <w:sz w:val="19"/>
                <w:szCs w:val="19"/>
              </w:rPr>
              <w:t xml:space="preserve">Directive</w:t>
            </w:r>
          </w:p>
        </w:tc>
        <w:tc>
          <w:tcPr>
            <w:tcW w:type="dxa" w:w="5160"/>
            <w:tcBorders>
              <w:top w:val="single" w:color="BFBFBF" w:sz="4"/>
              <w:left w:val="single" w:color="BFBFBF" w:sz="4"/>
              <w:bottom w:val="single" w:color="BFBFBF" w:sz="4"/>
              <w:right w:val="single" w:color="BFBFBF" w:sz="4"/>
            </w:tcBorders>
            <w:shd w:fill="E8E2D0" w:color="auto" w:val="clear"/>
            <w:tcMar>
              <w:top w:type="dxa" w:w="70"/>
              <w:left w:type="dxa" w:w="110"/>
              <w:bottom w:type="dxa" w:w="70"/>
              <w:right w:type="dxa" w:w="110"/>
            </w:tcMar>
          </w:tcPr>
          <w:p>
            <w:pPr>
              <w:spacing w:after="0" w:line="250"/>
            </w:pPr>
            <w:r>
              <w:rPr>
                <w:b/>
                <w:bCs/>
                <w:sz w:val="19"/>
                <w:szCs w:val="19"/>
              </w:rPr>
              <w:t xml:space="preserve">Actions produites</w:t>
            </w:r>
          </w:p>
        </w:tc>
      </w:tr>
      <w:tr>
        <w:trPr>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 Lève le bras droit lentement puis souris »</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épaule droite à 160°, vitesse 0,6 ; visage : sourire (6 + 12)</w:t>
            </w:r>
          </w:p>
        </w:tc>
      </w:tr>
      <w:tr>
        <w:trPr>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 Sois très en colère et croise les bras »</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émotion colère 9,5/10 ; geste croiser les bras</w:t>
            </w:r>
          </w:p>
        </w:tc>
      </w:tr>
      <w:tr>
        <w:trPr>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 Va côté cour puis salue le public »</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déplacement vers x = 1,5 m ; révérence</w:t>
            </w:r>
          </w:p>
        </w:tc>
      </w:tr>
      <w:tr>
        <w:trPr>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 Deviens triste, puis dis « Je ne reviendrai pas. » »</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émotion tristesse 7/10 ; parole avec prosodie de la tristesse</w:t>
            </w:r>
          </w:p>
        </w:tc>
      </w:tr>
      <w:tr>
        <w:trPr>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 Tourne la tête vers ma gauche »</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rotation de la tête de −55° (vers la droite du personnage)</w:t>
            </w:r>
          </w:p>
        </w:tc>
      </w:tr>
      <w:tr>
        <w:trPr>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 Mets une chemise rouge et un pantalon noir »</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apparence : haut rouge ; bas noir</w:t>
            </w:r>
          </w:p>
        </w:tc>
      </w:tr>
      <w:tr>
        <w:trPr>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 Mémorise cette pose sous le nom attente »</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pose enregistrée, rappelable par « reprends la pose attente »</w:t>
            </w:r>
          </w:p>
        </w:tc>
      </w:tr>
    </w:tbl>
    <w:p>
      <w:pPr>
        <w:spacing w:after="220" w:before="80"/>
      </w:pPr>
      <w:r>
        <w:rPr>
          <w:i/>
          <w:iCs/>
          <w:sz w:val="19"/>
          <w:szCs w:val="19"/>
        </w:rPr>
        <w:t xml:space="preserve">Tableau 3. Exemples de directives vérifiés par les tests automatiques.</w:t>
      </w:r>
    </w:p>
    <w:p>
      <w:pPr>
        <w:spacing w:after="140" w:line="300"/>
        <w:jc w:val="both"/>
      </w:pPr>
      <w:r>
        <w:t xml:space="preserve">Lorsque le pont local est relié et qu'un modèle est disponible, la case </w:t>
      </w:r>
      <w:r>
        <w:rPr>
          <w:i/>
          <w:iCs/>
        </w:rPr>
        <w:t xml:space="preserve">Faire interpréter par un modèle</w:t>
      </w:r>
      <w:r>
        <w:t xml:space="preserve"> transmet les seules propositions incomprises au service unique des modèles de la plateforme (rôle « commande » : Claude Sonnet ou GPT selon la configuration, et modèle local lorsque le routeur de sensibilité l'exige). Le pont fournit au modèle le vocabulaire autorisé et l'état du personnage, puis </w:t>
      </w:r>
      <w:r>
        <w:rPr>
          <w:b/>
          <w:bCs/>
        </w:rPr>
        <w:t xml:space="preserve">revalide</w:t>
      </w:r>
      <w:r>
        <w:t xml:space="preserve"> la réponse contre le même schéma, écarte toute action hors vocabulaire et plafonne la confiance lorsqu'il a dû en écarter une. L'interface présente alors la proposition, sa confiance et sa justification, et attend la </w:t>
      </w:r>
      <w:r>
        <w:rPr>
          <w:b/>
          <w:bCs/>
        </w:rPr>
        <w:t xml:space="preserve">validation humaine</w:t>
      </w:r>
      <w:r>
        <w:t xml:space="preserve"> ; l'application automatique au-dessus du seuil reste une option désactivée par défaut. Chaque directive, chaque proposition et chaque décision est journalisée dans la séance ROBO-SCÈNE.</w:t>
      </w:r>
    </w:p>
    <w:p>
      <w:pPr>
        <w:spacing w:after="140" w:line="300"/>
        <w:jc w:val="both"/>
      </w:pPr>
      <w:r>
        <w:t xml:space="preserve">La dictée utilise la reconnaissance vocale du navigateur (français du Canada), au coup par coup ou en écoute continue. Les commandes </w:t>
      </w:r>
      <w:r>
        <w:rPr>
          <w:i/>
          <w:iCs/>
        </w:rPr>
        <w:t xml:space="preserve">annule</w:t>
      </w:r>
      <w:r>
        <w:t xml:space="preserve">, </w:t>
      </w:r>
      <w:r>
        <w:rPr>
          <w:i/>
          <w:iCs/>
        </w:rPr>
        <w:t xml:space="preserve">répète</w:t>
      </w:r>
      <w:r>
        <w:t xml:space="preserve"> et </w:t>
      </w:r>
      <w:r>
        <w:rPr>
          <w:i/>
          <w:iCs/>
        </w:rPr>
        <w:t xml:space="preserve">stop</w:t>
      </w:r>
      <w:r>
        <w:t xml:space="preserve"> ainsi que la touche Échap et le bouton ARRÊT restent toujours disponibles.</w:t>
      </w:r>
    </w:p>
    <w:p>
      <w:pPr>
        <w:pStyle w:val="Heading1"/>
      </w:pPr>
      <w:r>
        <w:t xml:space="preserve">7. Manipuler et transformer le personnage</w:t>
      </w:r>
    </w:p>
    <w:p>
      <w:pPr>
        <w:spacing w:after="140" w:line="300"/>
        <w:jc w:val="both"/>
      </w:pPr>
      <w:r>
        <w:t xml:space="preserve">Un clic sur une partie du corps la sélectionne et l'entoure d'un halo ; un glissement vertical règle sa flexion, un glissement horizontal son écart ou sa rotation, et les curseurs correspondants apparaissent dans l'onglet </w:t>
      </w:r>
      <w:r>
        <w:rPr>
          <w:i/>
          <w:iCs/>
        </w:rPr>
        <w:t xml:space="preserve">Corps</w:t>
      </w:r>
      <w:r>
        <w:t xml:space="preserve">, qui donne aussi accès à tous les degrés de liberté, à vingt-quatre gestes, à sept poses, aux poses mémorisées et à une </w:t>
      </w:r>
      <w:r>
        <w:rPr>
          <w:b/>
          <w:bCs/>
        </w:rPr>
        <w:t xml:space="preserve">chorégraphie</w:t>
      </w:r>
      <w:r>
        <w:t xml:space="preserve"> d'images clés que l'on peut jouer, ajuster et exporter au format JSON. Le fond de la scène se fait glisser pour tourner autour du personnage ; huit cadrages (face, trois-quarts, profil, gros plan, plan américain, en pied, plan large, plongée) et cinq ambiances lumineuses (plein feux, douche, contre-jour, chaude, froide) complètent la régie.</w:t>
      </w:r>
    </w:p>
    <w:p>
      <w:pPr>
        <w:spacing w:after="140" w:line="300"/>
        <w:jc w:val="both"/>
      </w:pPr>
      <w:r>
        <w:t xml:space="preserve">L'onglet </w:t>
      </w:r>
      <w:r>
        <w:rPr>
          <w:i/>
          <w:iCs/>
        </w:rPr>
        <w:t xml:space="preserve">Apparence</w:t>
      </w:r>
      <w:r>
        <w:t xml:space="preserve"> règle la taille (150 à 205 cm), la carrure, la corpulence, l'âge (qui grisonne la chevelure et voûte légèrement la posture), la coiffure, la barbe, la moustache, la teinte de peau, la couleur des yeux, les manches et les couleurs des vêtements. Ces réglages, comme les poses, sont conservés dans le navigateur et peuvent être exportés.</w:t>
      </w:r>
    </w:p>
    <w:p>
      <w:pPr>
        <w:spacing w:after="140" w:line="300"/>
        <w:jc w:val="both"/>
      </w:pPr>
      <w:r>
        <w:t xml:space="preserve">Le </w:t>
      </w:r>
      <w:r>
        <w:rPr>
          <w:i/>
          <w:iCs/>
        </w:rPr>
        <w:t xml:space="preserve">Mode scène</w:t>
      </w:r>
      <w:r>
        <w:t xml:space="preserve"> masque les panneaux et passe en plein écran ; le bouton </w:t>
      </w:r>
      <w:r>
        <w:rPr>
          <w:i/>
          <w:iCs/>
        </w:rPr>
        <w:t xml:space="preserve">Fenêtre</w:t>
      </w:r>
      <w:r>
        <w:t xml:space="preserve"> ouvre la scène seule dans une fenêtre séparée, que l'on peut placer sur un second écran ou un projecteur pendant que la régie reste sur l'écran principal.</w:t>
      </w:r>
    </w:p>
    <w:p>
      <w:pPr>
        <w:pStyle w:val="Heading1"/>
      </w:pPr>
      <w:r>
        <w:t xml:space="preserve">8. Imiter une personne</w:t>
      </w:r>
    </w:p>
    <w:p>
      <w:pPr>
        <w:spacing w:after="140" w:line="300"/>
        <w:jc w:val="both"/>
      </w:pPr>
      <w:r>
        <w:t xml:space="preserve">L'onglet </w:t>
      </w:r>
      <w:r>
        <w:rPr>
          <w:i/>
          <w:iCs/>
        </w:rPr>
        <w:t xml:space="preserve">Imitation</w:t>
      </w:r>
      <w:r>
        <w:t xml:space="preserve"> permet au robot virtuel de reproduire en direct le visage, l'orientation de la tête et la posture d'une personne filmée. Les détecteurs de visage et de pose de MediaPipe s'exécutent dans le navigateur ; le détecteur de visage fournit, lorsque l'option est activée, cinquante-deux coefficients de forme du visage (Google AI Edge), que l'interface convertit en unités d'action, tandis que les repères tridimensionnels du corps donnent les angles des épaules, des coudes, des hanches, des genoux et du tronc. Aucune image n'est enregistrée ni transmise, et l'imitation ne démarre qu'après une case d'accord explicite et révocable. Le mode miroir, actif par défaut, fait agir le personnage comme un reflet.</w:t>
      </w:r>
    </w:p>
    <w:p>
      <w:pPr>
        <w:spacing w:after="140" w:line="300"/>
        <w:jc w:val="both"/>
      </w:pPr>
      <w:r>
        <w:t xml:space="preserve">Le bouton </w:t>
      </w:r>
      <w:r>
        <w:rPr>
          <w:i/>
          <w:iCs/>
        </w:rPr>
        <w:t xml:space="preserve">Figer l'expression</w:t>
      </w:r>
      <w:r>
        <w:t xml:space="preserve"> copie l'expression et la posture du moment sur le personnage : l'acteur peut ainsi « déposer » une forme dans le corps virtuel, puis la retravailler par directives. Une </w:t>
      </w:r>
      <w:r>
        <w:rPr>
          <w:b/>
          <w:bCs/>
        </w:rPr>
        <w:t xml:space="preserve">lecture indicative</w:t>
      </w:r>
      <w:r>
        <w:t xml:space="preserve"> affiche enfin la proximité entre l'expression observée et les prototypes du répertoire. (Inférence) Cette lecture n'est ni une mesure de l'état intérieur de la personne ni un diagnostic ; elle sert à comparer une intention de jeu et sa trace visible, et l'interface le rappelle en toutes lettres.</w:t>
      </w:r>
    </w:p>
    <w:p>
      <w:pPr>
        <w:pStyle w:val="Heading1"/>
      </w:pPr>
      <w:r>
        <w:t xml:space="preserve">9. Liaisons avec le partenaire, le pont et le robot physique</w:t>
      </w:r>
    </w:p>
    <w:p>
      <w:pPr>
        <w:pStyle w:val="ListParagraph"/>
        <w:numPr>
          <w:ilvl w:val="0"/>
          <w:numId w:val="2"/>
        </w:numPr>
        <w:spacing w:after="80" w:line="280"/>
      </w:pPr>
      <w:r>
        <w:rPr>
          <w:b/>
          <w:bCs/>
        </w:rPr>
        <w:t xml:space="preserve">Page Partenaire.</w:t>
      </w:r>
      <w:r>
        <w:t xml:space="preserve"> Lorsque la page Robot virtuel est ouverte dans le même navigateur et que la case </w:t>
      </w:r>
      <w:r>
        <w:rPr>
          <w:i/>
          <w:iCs/>
        </w:rPr>
        <w:t xml:space="preserve">Robot virtuel</w:t>
      </w:r>
      <w:r>
        <w:t xml:space="preserve"> est cochée dans l'en-tête du partenaire, les répliques, variations et consignes d'exercice sont dites par le robot virtuel, avec l'émotion et la prosodie de la variation choisie ; le partenaire attend la fin de la réplique avant de poursuivre. La voie tonale reste confiée au partenaire.</w:t>
      </w:r>
    </w:p>
    <w:p>
      <w:pPr>
        <w:pStyle w:val="ListParagraph"/>
        <w:numPr>
          <w:ilvl w:val="0"/>
          <w:numId w:val="2"/>
        </w:numPr>
        <w:spacing w:after="80" w:line="280"/>
      </w:pPr>
      <w:r>
        <w:rPr>
          <w:b/>
          <w:bCs/>
        </w:rPr>
        <w:t xml:space="preserve">Pont local.</w:t>
      </w:r>
      <w:r>
        <w:t xml:space="preserve"> Il journalise les directives, les fait interpréter au besoin par un modèle et transmet l'arrêt d'urgence déclenché depuis la page.</w:t>
      </w:r>
    </w:p>
    <w:p>
      <w:pPr>
        <w:pStyle w:val="ListParagraph"/>
        <w:numPr>
          <w:ilvl w:val="0"/>
          <w:numId w:val="2"/>
        </w:numPr>
        <w:spacing w:after="80" w:line="280"/>
      </w:pPr>
      <w:r>
        <w:rPr>
          <w:b/>
          <w:bCs/>
        </w:rPr>
        <w:t xml:space="preserve">Jumeau du robot physique.</w:t>
      </w:r>
      <w:r>
        <w:t xml:space="preserve"> Ce jumeau ne s'active que pour un robot à quatre servos Base, Épaule, Coude, Tête. En lecture, le personnage suit la télémétrie : base vers rotation du tronc, épaule vers flexion de l'épaule droite, coude vers flexion du coude droit, tête vers rotation de la tête. En pilotage, la correspondance s'inverse et les commandes, limitées à cinq par seconde, passent par la couche de sécurité du pont avec l'origine « avatar ». (Inférence) Cette correspondance est une proposition de conception à ajuster selon la mécanique réelle du robot ; les deux modes s'excluent mutuellement, et le pilotage demande une confirmation explicite.</w:t>
      </w:r>
    </w:p>
    <w:p>
      <w:pPr>
        <w:pStyle w:val="Heading1"/>
      </w:pPr>
      <w:r>
        <w:t xml:space="preserve">10. Mise en route</w:t>
      </w:r>
    </w:p>
    <w:p>
      <w:pPr>
        <w:pStyle w:val="ListParagraph"/>
        <w:numPr>
          <w:ilvl w:val="0"/>
          <w:numId w:val="3"/>
        </w:numPr>
        <w:spacing w:after="80" w:line="280"/>
      </w:pPr>
      <w:r>
        <w:rPr>
          <w:b/>
          <w:bCs/>
        </w:rPr>
        <w:t xml:space="preserve">Sans installation</w:t>
      </w:r>
      <w:r>
        <w:t xml:space="preserve"> : ouvrir robo-scene.netlify.app/avatar. Le robot virtuel fonctionne entièrement dans le navigateur ; seules les fonctions de pont (journal, interprète par modèle, jumeau) demandent le pont local.</w:t>
      </w:r>
    </w:p>
    <w:p>
      <w:pPr>
        <w:pStyle w:val="ListParagraph"/>
        <w:numPr>
          <w:ilvl w:val="0"/>
          <w:numId w:val="3"/>
        </w:numPr>
        <w:spacing w:after="80" w:line="280"/>
      </w:pPr>
      <w:r>
        <w:rPr>
          <w:b/>
          <w:bCs/>
        </w:rPr>
        <w:t xml:space="preserve">Avec le pont</w:t>
      </w:r>
      <w:r>
        <w:t xml:space="preserve"> : dans le dossier robo-scene-console, lancer </w:t>
      </w:r>
      <w:r>
        <w:rPr>
          <w:i/>
          <w:iCs/>
        </w:rPr>
        <w:t xml:space="preserve">bash lancer.command</w:t>
      </w:r>
      <w:r>
        <w:t xml:space="preserve">, puis ouvrir http://127.0.0.1:8765/avatar ou la page en ligne.</w:t>
      </w:r>
    </w:p>
    <w:p>
      <w:pPr>
        <w:pStyle w:val="ListParagraph"/>
        <w:numPr>
          <w:ilvl w:val="0"/>
          <w:numId w:val="3"/>
        </w:numPr>
        <w:spacing w:after="80" w:line="280"/>
      </w:pPr>
      <w:r>
        <w:t xml:space="preserve">Choisir la voix dans l'onglet </w:t>
      </w:r>
      <w:r>
        <w:rPr>
          <w:i/>
          <w:iCs/>
        </w:rPr>
        <w:t xml:space="preserve">Émotions et parole</w:t>
      </w:r>
      <w:r>
        <w:t xml:space="preserve"> ; essayer « Dis bonjour à tout le monde ».</w:t>
      </w:r>
    </w:p>
    <w:p>
      <w:pPr>
        <w:pStyle w:val="ListParagraph"/>
        <w:numPr>
          <w:ilvl w:val="0"/>
          <w:numId w:val="3"/>
        </w:numPr>
        <w:spacing w:after="80" w:line="280"/>
      </w:pPr>
      <w:r>
        <w:t xml:space="preserve">Pour la répétition : ouvrir la page Partenaire, cocher </w:t>
      </w:r>
      <w:r>
        <w:rPr>
          <w:i/>
          <w:iCs/>
        </w:rPr>
        <w:t xml:space="preserve">Robot virtuel</w:t>
      </w:r>
      <w:r>
        <w:t xml:space="preserve">, lancer une répétition ; placer la fenêtre de scène sur le second écran.</w:t>
      </w:r>
    </w:p>
    <w:p>
      <w:pPr>
        <w:pStyle w:val="Heading1"/>
      </w:pPr>
      <w:r>
        <w:t xml:space="preserve">11. Limites connues et parades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760"/>
      </w:tblGrid>
      <w:tr>
        <w:trPr>
          <w:tblHeader/>
        </w:trPr>
        <w:tc>
          <w:tcPr>
            <w:tcW w:type="dxa" w:w="2300"/>
            <w:tcBorders>
              <w:top w:val="single" w:color="BFBFBF" w:sz="4"/>
              <w:left w:val="single" w:color="BFBFBF" w:sz="4"/>
              <w:bottom w:val="single" w:color="BFBFBF" w:sz="4"/>
              <w:right w:val="single" w:color="BFBFBF" w:sz="4"/>
            </w:tcBorders>
            <w:shd w:fill="E8E2D0" w:color="auto" w:val="clear"/>
            <w:tcMar>
              <w:top w:type="dxa" w:w="70"/>
              <w:left w:type="dxa" w:w="110"/>
              <w:bottom w:type="dxa" w:w="70"/>
              <w:right w:type="dxa" w:w="110"/>
            </w:tcMar>
          </w:tcPr>
          <w:p>
            <w:pPr>
              <w:spacing w:after="0" w:line="250"/>
            </w:pPr>
            <w:r>
              <w:rPr>
                <w:b/>
                <w:bCs/>
                <w:sz w:val="19"/>
                <w:szCs w:val="19"/>
              </w:rPr>
              <w:t xml:space="preserve">Limite</w:t>
            </w:r>
          </w:p>
        </w:tc>
        <w:tc>
          <w:tcPr>
            <w:tcW w:type="dxa" w:w="3300"/>
            <w:tcBorders>
              <w:top w:val="single" w:color="BFBFBF" w:sz="4"/>
              <w:left w:val="single" w:color="BFBFBF" w:sz="4"/>
              <w:bottom w:val="single" w:color="BFBFBF" w:sz="4"/>
              <w:right w:val="single" w:color="BFBFBF" w:sz="4"/>
            </w:tcBorders>
            <w:shd w:fill="E8E2D0" w:color="auto" w:val="clear"/>
            <w:tcMar>
              <w:top w:type="dxa" w:w="70"/>
              <w:left w:type="dxa" w:w="110"/>
              <w:bottom w:type="dxa" w:w="70"/>
              <w:right w:type="dxa" w:w="110"/>
            </w:tcMar>
          </w:tcPr>
          <w:p>
            <w:pPr>
              <w:spacing w:after="0" w:line="250"/>
            </w:pPr>
            <w:r>
              <w:rPr>
                <w:b/>
                <w:bCs/>
                <w:sz w:val="19"/>
                <w:szCs w:val="19"/>
              </w:rPr>
              <w:t xml:space="preserve">Effet</w:t>
            </w:r>
          </w:p>
        </w:tc>
        <w:tc>
          <w:tcPr>
            <w:tcW w:type="dxa" w:w="3760"/>
            <w:tcBorders>
              <w:top w:val="single" w:color="BFBFBF" w:sz="4"/>
              <w:left w:val="single" w:color="BFBFBF" w:sz="4"/>
              <w:bottom w:val="single" w:color="BFBFBF" w:sz="4"/>
              <w:right w:val="single" w:color="BFBFBF" w:sz="4"/>
            </w:tcBorders>
            <w:shd w:fill="E8E2D0" w:color="auto" w:val="clear"/>
            <w:tcMar>
              <w:top w:type="dxa" w:w="70"/>
              <w:left w:type="dxa" w:w="110"/>
              <w:bottom w:type="dxa" w:w="70"/>
              <w:right w:type="dxa" w:w="110"/>
            </w:tcMar>
          </w:tcPr>
          <w:p>
            <w:pPr>
              <w:spacing w:after="0" w:line="250"/>
            </w:pPr>
            <w:r>
              <w:rPr>
                <w:b/>
                <w:bCs/>
                <w:sz w:val="19"/>
                <w:szCs w:val="19"/>
              </w:rPr>
              <w:t xml:space="preserve">Parade</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Voix dépendantes du système</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absence de voix française masculine sur certains postes</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choisir une autre voix et abaisser le registre ; installer une voix française dans le système</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Événements de frontière absents</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synchronisation labiale estimée</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le débit estimé suffit à la lisibilité ; préférer une voix locale</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Pas de cinématique inverse</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pieds qui peuvent glisser ou s'enfoncer légèrement dans certaines poses</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poses assise, accroupie et à genoux réglées à la main ; correction prévue dans une version ultérieure</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Visèmes déduits de l'orthographe</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approximation des lettres muettes</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acceptable en stylisation ; une phonétisation pourrait remplacer les règles</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Imitation</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calibrage de la tête et des bras à vérifier selon la caméra</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basculer le mode miroir ; figer puis corriger par directives</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Reconnaissance vocale</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selon le navigateur, traitement possiblement distant</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le traitement local est demandé lorsqu'il est offert ; la saisie écrite reste disponible</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Performance graphique</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ralentissements sur machines anciennes</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réduire la fenêtre, désactiver la présence vivante</w:t>
            </w:r>
          </w:p>
        </w:tc>
      </w:tr>
    </w:tbl>
    <w:p>
      <w:pPr>
        <w:spacing w:after="220" w:before="80"/>
      </w:pPr>
      <w:r>
        <w:rPr>
          <w:i/>
          <w:iCs/>
          <w:sz w:val="19"/>
          <w:szCs w:val="19"/>
        </w:rPr>
        <w:t xml:space="preserve">Tableau 4. Limites et parades.</w:t>
      </w:r>
    </w:p>
    <w:p>
      <w:pPr>
        <w:pStyle w:val="Heading1"/>
      </w:pPr>
      <w:r>
        <w:t xml:space="preserve">12. Vérification</w:t>
      </w:r>
    </w:p>
    <w:p>
      <w:pPr>
        <w:spacing w:after="140" w:line="300"/>
        <w:jc w:val="both"/>
      </w:pPr>
      <w:r>
        <w:t xml:space="preserve">Huit tests propres au robot virtuel s'ajoutent à la suite de la plateforme (159 tests : 158 réussis, 1 ignoré faute d'un classeur absent du dépôt) : cohérence du schéma, validation et bornage des actions côté pont, interprétation sans modèle et avec un service de modèles simulé (qui vérifie aussi que </w:t>
      </w:r>
      <w:r>
        <w:rPr>
          <w:i/>
          <w:iCs/>
        </w:rPr>
        <w:t xml:space="preserve">temperature</w:t>
      </w:r>
      <w:r>
        <w:t xml:space="preserve"> et </w:t>
      </w:r>
      <w:r>
        <w:rPr>
          <w:i/>
          <w:iCs/>
        </w:rPr>
        <w:t xml:space="preserve">top_p</w:t>
      </w:r>
      <w:r>
        <w:t xml:space="preserve"> ne sont jamais envoyés ensemble), page et fichiers servis, journalisation des directives et bornage du pilotage par la couche de sécurité, interprète JavaScript sur treize directives, concordance des validations JavaScript et Python, et alignement des émotions du robot virtuel sur celles du partenaire. La page a en outre été vérifiée dans Chromium : rendu, douze expressions, marche, gestes, manipulation par glissement, liaison avec la page Partenaire, affichage mobile et mode scène.</w:t>
      </w:r>
    </w:p>
    <w:p>
      <w:pPr>
        <w:pStyle w:val="Heading1"/>
      </w:pPr>
      <w:r>
        <w:t xml:space="preserve">Ouvrages cités</w:t>
      </w:r>
    </w:p>
    <w:p>
      <w:pPr>
        <w:spacing w:after="120" w:line="280"/>
        <w:ind w:left="720" w:hanging="720"/>
      </w:pPr>
      <w:r>
        <w:t xml:space="preserve">Bentivoglio, Anna Rita, et al. « Analysis of Blink Rate Patterns in Normal Subjects ». </w:t>
      </w:r>
      <w:r>
        <w:rPr>
          <w:i/>
          <w:iCs/>
        </w:rPr>
        <w:t xml:space="preserve">Movement Disorders</w:t>
      </w:r>
      <w:r>
        <w:t xml:space="preserve">, vol. 12, no 6, 1997, pp. 1028-34, doi:10.1002/mds.870120629.</w:t>
      </w:r>
    </w:p>
    <w:p>
      <w:pPr>
        <w:spacing w:after="120" w:line="280"/>
        <w:ind w:left="720" w:hanging="720"/>
      </w:pPr>
      <w:r>
        <w:t xml:space="preserve">Cassell, Justine, et al. « BEAT: The Behavior Expression Animation Toolkit ». </w:t>
      </w:r>
      <w:r>
        <w:rPr>
          <w:i/>
          <w:iCs/>
        </w:rPr>
        <w:t xml:space="preserve">Proceedings of SIGGRAPH 01</w:t>
      </w:r>
      <w:r>
        <w:t xml:space="preserve">, ACM, 2001, www.media.mit.edu/gnl/publications/siggraph2001.pdf.</w:t>
      </w:r>
    </w:p>
    <w:p>
      <w:pPr>
        <w:spacing w:after="120" w:line="280"/>
        <w:ind w:left="720" w:hanging="720"/>
      </w:pPr>
      <w:r>
        <w:t xml:space="preserve">Chi, Diane, et al. « The EMOTE Model for Effort and Shape ». </w:t>
      </w:r>
      <w:r>
        <w:rPr>
          <w:i/>
          <w:iCs/>
        </w:rPr>
        <w:t xml:space="preserve">Proceedings of the 27th Annual Conference on Computer Graphics and Interactive Techniques (SIGGRAPH '00)</w:t>
      </w:r>
      <w:r>
        <w:t xml:space="preserve">, ACM Press, 2000, pp. 173-82, doi:10.1145/344779.352172.</w:t>
      </w:r>
    </w:p>
    <w:p>
      <w:pPr>
        <w:spacing w:after="120" w:line="280"/>
        <w:ind w:left="720" w:hanging="720"/>
      </w:pPr>
      <w:r>
        <w:t xml:space="preserve">Ekman, Paul, et al. </w:t>
      </w:r>
      <w:r>
        <w:rPr>
          <w:i/>
          <w:iCs/>
        </w:rPr>
        <w:t xml:space="preserve">Facial Action Coding System: The Manual on CD ROM</w:t>
      </w:r>
      <w:r>
        <w:t xml:space="preserve">. A Human Face, 2002.</w:t>
      </w:r>
    </w:p>
    <w:p>
      <w:pPr>
        <w:spacing w:after="120" w:line="280"/>
        <w:ind w:left="720" w:hanging="720"/>
      </w:pPr>
      <w:r>
        <w:t xml:space="preserve">Google AI Edge. « Face Landmark Detection Guide for Web ». </w:t>
      </w:r>
      <w:r>
        <w:rPr>
          <w:i/>
          <w:iCs/>
        </w:rPr>
        <w:t xml:space="preserve">Google for Developers</w:t>
      </w:r>
      <w:r>
        <w:t xml:space="preserve">, developers.google.com/edge/mediapipe/solutions/vision/face_landmarker/web_js. Consulté le 15 oct. 2026.</w:t>
      </w:r>
    </w:p>
    <w:p>
      <w:pPr>
        <w:spacing w:after="120" w:line="280"/>
        <w:ind w:left="720" w:hanging="720"/>
      </w:pPr>
      <w:r>
        <w:t xml:space="preserve">MDN Web Docs. « SpeechSynthesisUtterance: boundary Event ». </w:t>
      </w:r>
      <w:r>
        <w:rPr>
          <w:i/>
          <w:iCs/>
        </w:rPr>
        <w:t xml:space="preserve">Mozilla</w:t>
      </w:r>
      <w:r>
        <w:t xml:space="preserve">, developer.mozilla.org/en-US/docs/Web/API/SpeechSynthesisUtterance/boundary_event. Consulté le 15 oct. 2026.</w:t>
      </w:r>
    </w:p>
    <w:p>
      <w:pPr>
        <w:spacing w:after="120" w:line="280"/>
        <w:ind w:left="720" w:hanging="720"/>
      </w:pPr>
      <w:r>
        <w:t xml:space="preserve">Mori, Masahiro. « The Uncanny Valley: The Original Essay by Masahiro Mori ». Traduit par Karl F. MacDorman et Norri Kageki, </w:t>
      </w:r>
      <w:r>
        <w:rPr>
          <w:i/>
          <w:iCs/>
        </w:rPr>
        <w:t xml:space="preserve">IEEE Spectrum</w:t>
      </w:r>
      <w:r>
        <w:t xml:space="preserve">, 12 juin 2012, spectrum.ieee.org/the-uncanny-valley.</w:t>
      </w:r>
    </w:p>
    <w:p>
      <w:pPr>
        <w:spacing w:after="120" w:line="280"/>
        <w:ind w:left="720" w:hanging="720"/>
      </w:pPr>
      <w:r>
        <w:t xml:space="preserve">Office québécois de la langue française. « Côté cour ». </w:t>
      </w:r>
      <w:r>
        <w:rPr>
          <w:i/>
          <w:iCs/>
        </w:rPr>
        <w:t xml:space="preserve">Grand dictionnaire terminologique</w:t>
      </w:r>
      <w:r>
        <w:t xml:space="preserve">, 2005, vitrinelinguistique.oqlf.gouv.qc.ca/fiche-gdt/fiche/8356193/cote-cour.</w:t>
      </w:r>
    </w:p>
    <w:p>
      <w:pPr>
        <w:spacing w:after="120" w:line="280"/>
        <w:ind w:left="720" w:hanging="720"/>
      </w:pPr>
      <w:r>
        <w:t xml:space="preserve">Tracy, Jessica L., et Richard W. Robins. « Show Your Pride: Evidence for a Discrete Emotion Expression ». </w:t>
      </w:r>
      <w:r>
        <w:rPr>
          <w:i/>
          <w:iCs/>
        </w:rPr>
        <w:t xml:space="preserve">Psychological Science</w:t>
      </w:r>
      <w:r>
        <w:t xml:space="preserve">, vol. 15, no 3, 2004, doi:10.1111/j.0956-7976.2004.01503008.x.</w:t>
      </w:r>
    </w:p>
    <w:p>
      <w:pPr>
        <w:spacing w:after="120" w:line="280"/>
        <w:ind w:left="720" w:hanging="720"/>
      </w:pPr>
      <w:r>
        <w:t xml:space="preserve">Wallbott, Harald G. « Bodily Expression of Emotion ». </w:t>
      </w:r>
      <w:r>
        <w:rPr>
          <w:i/>
          <w:iCs/>
        </w:rPr>
        <w:t xml:space="preserve">European Journal of Social Psychology</w:t>
      </w:r>
      <w:r>
        <w:t xml:space="preserve">, vol. 28, 1998, pp. 879-96.</w:t>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8A6D1F" w:sz="12"/>
              <w:left w:val="single" w:color="8A6D1F" w:sz="12"/>
              <w:bottom w:val="single" w:color="8A6D1F" w:sz="12"/>
              <w:right w:val="single" w:color="8A6D1F" w:sz="12"/>
            </w:tcBorders>
            <w:shd w:fill="F7F3E8" w:color="auto" w:val="clear"/>
            <w:tcMar>
              <w:top w:type="dxa" w:w="160"/>
              <w:left w:type="dxa" w:w="220"/>
              <w:bottom w:type="dxa" w:w="160"/>
              <w:right w:type="dxa" w:w="220"/>
            </w:tcMar>
          </w:tcPr>
          <w:p>
            <w:pPr>
              <w:spacing w:after="120"/>
            </w:pPr>
            <w:r>
              <w:rPr>
                <w:b/>
                <w:bCs/>
                <w:sz w:val="24"/>
                <w:szCs w:val="24"/>
              </w:rPr>
              <w:t xml:space="preserve">Encadré final — Conformité ISO/IEC 42001</w:t>
            </w:r>
          </w:p>
          <w:p>
            <w:pPr>
              <w:spacing w:after="160"/>
            </w:pPr>
            <w:r>
              <w:rPr>
                <w:i/>
                <w:iCs/>
                <w:sz w:val="20"/>
                <w:szCs w:val="20"/>
              </w:rPr>
              <w:t xml:space="preserve">Mise en conformité vérifiée le 15 octobre 2026</w:t>
            </w:r>
          </w:p>
          <w:p>
            <w:pPr>
              <w:spacing w:after="100" w:line="276"/>
            </w:pPr>
            <w:r>
              <w:rPr>
                <w:sz w:val="21"/>
                <w:szCs w:val="21"/>
              </w:rPr>
              <w:t xml:space="preserve">✅ </w:t>
            </w:r>
            <w:r>
              <w:rPr>
                <w:b/>
                <w:bCs/>
                <w:sz w:val="21"/>
                <w:szCs w:val="21"/>
              </w:rPr>
              <w:t xml:space="preserve">Gouvernance et pilotage</w:t>
            </w:r>
            <w:r>
              <w:rPr>
                <w:sz w:val="21"/>
                <w:szCs w:val="21"/>
              </w:rPr>
              <w:t xml:space="preserve"> : finalités déclarées (section 1) ; propositions des modèles soumises à validation humaine, application automatique désactivée par défaut ; pilotage du robot physique sur confirmation explicite.</w:t>
            </w:r>
          </w:p>
          <w:p>
            <w:pPr>
              <w:spacing w:after="100" w:line="276"/>
            </w:pPr>
            <w:r>
              <w:rPr>
                <w:sz w:val="21"/>
                <w:szCs w:val="21"/>
              </w:rPr>
              <w:t xml:space="preserve">✅ </w:t>
            </w:r>
            <w:r>
              <w:rPr>
                <w:b/>
                <w:bCs/>
                <w:sz w:val="21"/>
                <w:szCs w:val="21"/>
              </w:rPr>
              <w:t xml:space="preserve">Transparence et documentation</w:t>
            </w:r>
            <w:r>
              <w:rPr>
                <w:sz w:val="21"/>
                <w:szCs w:val="21"/>
              </w:rPr>
              <w:t xml:space="preserve"> : sources citées, inférences et compositions de conception signalées, moteur d'interprétation affiché, vocabulaire publié dans schema.json.</w:t>
            </w:r>
          </w:p>
          <w:p>
            <w:pPr>
              <w:spacing w:after="100" w:line="276"/>
            </w:pPr>
            <w:r>
              <w:rPr>
                <w:sz w:val="21"/>
                <w:szCs w:val="21"/>
              </w:rPr>
              <w:t xml:space="preserve">✅ </w:t>
            </w:r>
            <w:r>
              <w:rPr>
                <w:b/>
                <w:bCs/>
                <w:sz w:val="21"/>
                <w:szCs w:val="21"/>
              </w:rPr>
              <w:t xml:space="preserve">Gestion des risques</w:t>
            </w:r>
            <w:r>
              <w:rPr>
                <w:sz w:val="21"/>
                <w:szCs w:val="21"/>
              </w:rPr>
              <w:t xml:space="preserve"> : double validation des actions (interface et pont), bornage anatomique, commandes physiques via la couche de sécurité, arrêt général relayé au pont, tests automatiques.</w:t>
            </w:r>
          </w:p>
          <w:p>
            <w:pPr>
              <w:spacing w:after="100" w:line="276"/>
            </w:pPr>
            <w:r>
              <w:rPr>
                <w:sz w:val="21"/>
                <w:szCs w:val="21"/>
              </w:rPr>
              <w:t xml:space="preserve">✅ </w:t>
            </w:r>
            <w:r>
              <w:rPr>
                <w:b/>
                <w:bCs/>
                <w:sz w:val="21"/>
                <w:szCs w:val="21"/>
              </w:rPr>
              <w:t xml:space="preserve">Responsabilité et imputabilité</w:t>
            </w:r>
            <w:r>
              <w:rPr>
                <w:sz w:val="21"/>
                <w:szCs w:val="21"/>
              </w:rPr>
              <w:t xml:space="preserve"> : journalisation des directives, propositions, confiances et décisions dans la séance ; dépôt Git versionné.</w:t>
            </w:r>
          </w:p>
          <w:p>
            <w:pPr>
              <w:spacing w:after="100" w:line="276"/>
            </w:pPr>
            <w:r>
              <w:rPr>
                <w:sz w:val="21"/>
                <w:szCs w:val="21"/>
              </w:rPr>
              <w:t xml:space="preserve">✅ </w:t>
            </w:r>
            <w:r>
              <w:rPr>
                <w:b/>
                <w:bCs/>
                <w:sz w:val="21"/>
                <w:szCs w:val="21"/>
              </w:rPr>
              <w:t xml:space="preserve">Éthique et parties prenantes</w:t>
            </w:r>
            <w:r>
              <w:rPr>
                <w:sz w:val="21"/>
                <w:szCs w:val="21"/>
              </w:rPr>
              <w:t xml:space="preserve"> : personnage procédural sans ressemblance avec une personne réelle ; caméra sur accord révocable, traitement local, aucune image conservée ; lecture émotionnelle présentée comme indicative.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ROBO-SCÈNE 2026 — Le robot virtuel humanoïde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5C4813"/>
      <w:sz w:val="30"/>
      <w:szCs w:val="3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i/>
      <w:i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robot virtuel ROBO-SCÈNE — guide</dc:title>
  <dc:creator>Sylvain Gagné</dc:creator>
  <cp:lastModifiedBy>Un-named</cp:lastModifiedBy>
  <cp:revision>1</cp:revision>
  <dcterms:created xsi:type="dcterms:W3CDTF">2026-10-15T08:16:42.929Z</dcterms:created>
  <dcterms:modified xsi:type="dcterms:W3CDTF">2026-10-15T08:16:42.930Z</dcterms:modified>
</cp:coreProperties>
</file>

<file path=docProps/custom.xml><?xml version="1.0" encoding="utf-8"?>
<Properties xmlns="http://schemas.openxmlformats.org/officeDocument/2006/custom-properties" xmlns:vt="http://schemas.openxmlformats.org/officeDocument/2006/docPropsVTypes"/>
</file>