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8A6D1F"/>
          <w:sz w:val="26"/>
          <w:szCs w:val="26"/>
        </w:rPr>
        <w:t xml:space="preserve">ROBO-SCÈNE 2026</w:t>
      </w:r>
    </w:p>
    <w:p>
      <w:pPr>
        <w:spacing w:after="200" w:before="400"/>
        <w:jc w:val="center"/>
      </w:pPr>
      <w:r>
        <w:rPr>
          <w:b/>
          <w:bCs/>
          <w:sz w:val="48"/>
          <w:szCs w:val="48"/>
        </w:rPr>
        <w:t xml:space="preserve">Le partenaire de théâtre</w:t>
      </w:r>
    </w:p>
    <w:p>
      <w:pPr>
        <w:spacing w:after="600"/>
        <w:jc w:val="center"/>
      </w:pPr>
      <w:r>
        <w:rPr>
          <w:i/>
          <w:iCs/>
          <w:sz w:val="26"/>
          <w:szCs w:val="26"/>
        </w:rPr>
        <w:t xml:space="preserve">Compagnon de formation, répétiteur, analyste du jeu et des pièces, moteur de variations émotionnelles</w:t>
      </w:r>
    </w:p>
    <w:p>
      <w:pPr>
        <w:jc w:val="center"/>
      </w:pPr>
      <w:r>
        <w:rPr>
          <w:sz w:val="24"/>
          <w:szCs w:val="24"/>
        </w:rPr>
        <w:t xml:space="preserve">Guide d'utilisation et fondements — version 2.0</w:t>
      </w:r>
    </w:p>
    <w:p>
      <w:pPr>
        <w:spacing w:before="1200"/>
        <w:jc w:val="center"/>
      </w:pPr>
      <w:r>
        <w:rPr>
          <w:b/>
          <w:bCs/>
          <w:sz w:val="24"/>
          <w:szCs w:val="24"/>
        </w:rPr>
        <w:t xml:space="preserve">Sylvain Gagné, Ph. D.</w:t>
      </w:r>
    </w:p>
    <w:p>
      <w:pPr>
        <w:jc w:val="center"/>
      </w:pPr>
      <w:r>
        <w:rPr>
          <w:sz w:val="22"/>
          <w:szCs w:val="22"/>
        </w:rPr>
        <w:t xml:space="preserve">10 octobre 2026</w:t>
      </w:r>
    </w:p>
    <w:p>
      <w:r>
        <w:br w:type="page"/>
      </w: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Finalité et périmètre</w:t>
      </w:r>
    </w:p>
    <w:p>
      <w:pPr>
        <w:spacing w:after="140" w:line="300"/>
        <w:jc w:val="both"/>
      </w:pPr>
      <w:r>
        <w:t xml:space="preserve">Le partenaire de théâtre prolonge la console ROBO-SCÈNE en lui adjoignant ce qui, jusqu'ici, lui manquait pour habiter une salle de répétition : une mémoire documentaire, une écoute, une voix et une manière de varier. Il rassemble, dans un même dispositif, le compagnon de formation qui restitue et guide les exercices du </w:t>
      </w:r>
      <w:r>
        <w:rPr>
          <w:i/>
          <w:iCs/>
        </w:rPr>
        <w:t xml:space="preserve">Livret d'exercices pour acteurs</w:t>
      </w:r>
      <w:r>
        <w:t xml:space="preserve">, le répétiteur qui donne la réplique et souffle, l'analyste qui mesure le jeu et décompose les pièces, et le moteur qui propose, pour chaque réplique à l'étude, des variations émotionnelles fondées sur le texte (Gagné, </w:t>
      </w:r>
      <w:r>
        <w:rPr>
          <w:i/>
          <w:iCs/>
        </w:rPr>
        <w:t xml:space="preserve">Livret</w:t>
      </w:r>
      <w:r>
        <w:t xml:space="preserve">). Ces fonctions ne sont pas juxtaposées : elles partagent une même bibliothèque de pièces, un même registre d'acteurs et de consentements, une même couche de sécurité, et elles alimentent le même journal de séance que la console.</w:t>
      </w:r>
    </w:p>
    <w:p>
      <w:pPr>
        <w:spacing w:after="140" w:line="300"/>
        <w:jc w:val="both"/>
      </w:pPr>
      <w:r>
        <w:t xml:space="preserve">Il convient, d'entrée de jeu, d'en marquer les seuils. Conformément à la note de cadrage du programme, les formulations relatives à la coécriture, à l'agentivité ou à l'empathie du robot relèvent d'hypothèses dramaturgiques et opératoires et n'attribuent pas à la machine une intentionnalité humaine (Gagné, </w:t>
      </w:r>
      <w:r>
        <w:rPr>
          <w:i/>
          <w:iCs/>
        </w:rPr>
        <w:t xml:space="preserve">Programme de recherche</w:t>
      </w:r>
      <w:r>
        <w:t xml:space="preserve"> 1) ; le partenaire produit donc des qualités expressives et des indices mesurables, non des états vécus. De même, l'estimation d'une intention à partir de signaux observables ne saurait être confondue avec l'accès à l'intériorité de l'artiste (Gagné, </w:t>
      </w:r>
      <w:r>
        <w:rPr>
          <w:i/>
          <w:iCs/>
        </w:rPr>
        <w:t xml:space="preserve">Programme de recherche</w:t>
      </w:r>
      <w:r>
        <w:t xml:space="preserve"> 2.4) : c'est pourquoi chaque mesure de l'analyste du jeu est présentée comme un indice, à trianguler avec l'observation de plateau et l'entretien d'explicitation.</w:t>
      </w:r>
    </w:p>
    <w:p>
      <w:pPr>
        <w:spacing w:after="140" w:line="300"/>
        <w:jc w:val="both"/>
      </w:pPr>
      <w:r>
        <w:t xml:space="preserve">(Inférence) On pourrait dire, en reprenant la distinction canonique du projet, que l'outil s'efforce de passer du robot-outil au robot-partenaire sans prétendre l'avoir fait : la relation, unité d'analyse du programme, n'est pas un module du logiciel, mais ce que ses traces permettent, le cas échéant, d'observer (Gagné, </w:t>
      </w:r>
      <w:r>
        <w:rPr>
          <w:i/>
          <w:iCs/>
        </w:rPr>
        <w:t xml:space="preserve">Édition restructurée</w:t>
      </w:r>
      <w:r>
        <w:t xml:space="preserve">, partie B).</w:t>
      </w:r>
    </w:p>
    <w:p>
      <w:pPr>
        <w:pStyle w:val="Heading1"/>
      </w:pPr>
      <w:r>
        <w:t xml:space="preserve">2. Architecture</w:t>
      </w:r>
    </w:p>
    <w:p>
      <w:pPr>
        <w:spacing w:after="140" w:line="300"/>
        <w:jc w:val="both"/>
      </w:pPr>
      <w:r>
        <w:t xml:space="preserve">Le partenaire s'insère dans l'architecture à trois étages de la console, sans en modifier le principe : l'interface (navigateur) ne parle jamais directement au robot ; elle s'adresse au serveur-pont Python, qui seul commande le microcontrôleur, après passage par la couche de sécurité. Les gestes du partenaire — accompagnements d'exercices, incarnation des répliques, variations, situations de coprésence — sont des suites d'images clés bornées, jouées par le même mécanisme que les chorégraphies, et donc soumises au même bornage articulaire, à la même limitation de vitesse et au même verrou d'arrêt d'urgence.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60"/>
        <w:gridCol w:w="2900"/>
      </w:tblGrid>
      <w:tr>
        <w:trPr>
          <w:tblHeader/>
        </w:trPr>
        <w:tc>
          <w:tcPr>
            <w:tcW w:type="dxa" w:w="230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Module (bridge/partenaire/)</w:t>
            </w:r>
          </w:p>
        </w:tc>
        <w:tc>
          <w:tcPr>
            <w:tcW w:type="dxa" w:w="416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Fonction</w:t>
            </w:r>
          </w:p>
        </w:tc>
        <w:tc>
          <w:tcPr>
            <w:tcW w:type="dxa" w:w="290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Vérification</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connaissances.py</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Extraction (.docx, .pdf, .md, .txt, .html), découpage en passages sourcés, recherche BM25 en français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445 passages issus de 7 documents ; chaque passage garde source, section et page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livret.py</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Structuration du livret : 97 fiches, calendriers, grille d'auto-évaluation, séance type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97 fiches complètes (durée, objectif, étapes)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texte.py</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Modèle de pièce ; lecteurs texte brut, Word et TEI ; répertoire DraCor</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Le Misanthrope importé : 22 scènes, 502 répliques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dramaturgie.py</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Distribution de la parole, configurations, réseau, stichomythies, tirades, fiche de personnage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Citations vérifiées mot pour mot</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variations.py</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Indices textuels, propositions, rendus vocal et gestuel (deux régimes)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Gestes bornés et déterministes pour 11 émotions × 5 styles × 2 régimes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analyse_jeu.py</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Fidélité au texte, mesures vocales, descripteurs de mouvement, trajectoires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Débits implausibles écartés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copresence.py</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Partition du chapitre 7, perturbations P1 à P3, plan scellé</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Falsification du plan détectée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agents.py</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Conseiller, analyste dramaturgique, variations, retour de jeu</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Références et citations inventées retirées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stockage.py</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Acteurs, consentements révocables, passages, retrait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Aucun passage conservé sans consentement</w:t>
            </w:r>
          </w:p>
        </w:tc>
      </w:tr>
    </w:tbl>
    <w:p>
      <w:pPr>
        <w:spacing w:after="220" w:before="80"/>
      </w:pPr>
      <w:r>
        <w:rPr>
          <w:i/>
          <w:iCs/>
          <w:sz w:val="19"/>
          <w:szCs w:val="19"/>
        </w:rPr>
        <w:t xml:space="preserve">Tableau 1 — Modules du partenaire et contrôles automatisés correspondants (vingt-deux tests du partenaire).</w:t>
      </w:r>
    </w:p>
    <w:p>
      <w:pPr>
        <w:spacing w:after="140" w:line="300"/>
        <w:jc w:val="both"/>
      </w:pPr>
      <w:r>
        <w:t xml:space="preserve">Les agents suivent la convention de sortie fixée par le fichier de corrections des prompts : chaque réponse porte les champs </w:t>
      </w:r>
      <w:r>
        <w:rPr>
          <w:i/>
          <w:iCs/>
        </w:rPr>
        <w:t xml:space="preserve">agent_type</w:t>
      </w:r>
      <w:r>
        <w:t xml:space="preserve">, </w:t>
      </w:r>
      <w:r>
        <w:rPr>
          <w:i/>
          <w:iCs/>
        </w:rPr>
        <w:t xml:space="preserve">agent_name</w:t>
      </w:r>
      <w:r>
        <w:t xml:space="preserve"> et </w:t>
      </w:r>
      <w:r>
        <w:rPr>
          <w:i/>
          <w:iCs/>
        </w:rPr>
        <w:t xml:space="preserve">timestamp</w:t>
      </w:r>
      <w:r>
        <w:t xml:space="preserve"> (« Corrections des prompts agents »). Sept agents sont ainsi nommés : compagnon de formation, répétiteur, analyste du jeu, analyste dramaturgique, conseiller du spectacle, moteur de variations et régie de coprésence. Sans clé API, chacun répond par une voie déterministe et l'indique ; avec une clé, les modèles Claude interviennent sous des garde-fous décrits à la section 9.</w:t>
      </w:r>
    </w:p>
    <w:p>
      <w:pPr>
        <w:pStyle w:val="Heading1"/>
      </w:pPr>
      <w:r>
        <w:t xml:space="preserve">3. Démarrage</w:t>
      </w:r>
    </w:p>
    <w:p>
      <w:pPr>
        <w:pStyle w:val="ListParagraph"/>
        <w:numPr>
          <w:ilvl w:val="0"/>
          <w:numId w:val="2"/>
        </w:numPr>
        <w:spacing w:after="80" w:line="280"/>
      </w:pPr>
      <w:r>
        <w:t xml:space="preserve">Décompresser l'archive, ouvrir le Terminal, se placer dans le dossier robo-scene-console, puis lancer </w:t>
      </w:r>
      <w:r>
        <w:rPr>
          <w:b/>
          <w:bCs/>
        </w:rPr>
        <w:t xml:space="preserve">bash lancer.command</w:t>
      </w:r>
      <w:r>
        <w:t xml:space="preserve"> (la première exécution installe l'environnement Python).</w:t>
      </w:r>
    </w:p>
    <w:p>
      <w:pPr>
        <w:pStyle w:val="ListParagraph"/>
        <w:numPr>
          <w:ilvl w:val="0"/>
          <w:numId w:val="2"/>
        </w:numPr>
        <w:spacing w:after="80" w:line="280"/>
      </w:pPr>
      <w:r>
        <w:t xml:space="preserve">Ouvrir </w:t>
      </w:r>
      <w:r>
        <w:rPr>
          <w:b/>
          <w:bCs/>
        </w:rPr>
        <w:t xml:space="preserve">http://127.0.0.1:8765/partenaire</w:t>
      </w:r>
      <w:r>
        <w:t xml:space="preserve"> ; la console reste accessible par le lien « Console ».</w:t>
      </w:r>
    </w:p>
    <w:p>
      <w:pPr>
        <w:pStyle w:val="ListParagraph"/>
        <w:numPr>
          <w:ilvl w:val="0"/>
          <w:numId w:val="2"/>
        </w:numPr>
        <w:spacing w:after="80" w:line="280"/>
      </w:pPr>
      <w:r>
        <w:t xml:space="preserve">Créer un acteur (onglet « Acteurs et consentements »), sous pseudonyme, et recueillir les consentements nécessaires.</w:t>
      </w:r>
    </w:p>
    <w:p>
      <w:pPr>
        <w:pStyle w:val="ListParagraph"/>
        <w:numPr>
          <w:ilvl w:val="0"/>
          <w:numId w:val="2"/>
        </w:numPr>
        <w:spacing w:after="80" w:line="280"/>
      </w:pPr>
      <w:r>
        <w:t xml:space="preserve">Choisir une pièce : la scène de démonstration </w:t>
      </w:r>
      <w:r>
        <w:rPr>
          <w:i/>
          <w:iCs/>
        </w:rPr>
        <w:t xml:space="preserve">Le Souffleur</w:t>
      </w:r>
      <w:r>
        <w:t xml:space="preserve">, </w:t>
      </w:r>
      <w:r>
        <w:rPr>
          <w:i/>
          <w:iCs/>
        </w:rPr>
        <w:t xml:space="preserve">Le Misanthrope</w:t>
      </w:r>
      <w:r>
        <w:t xml:space="preserve">, une pièce importée de DraCor ou un texte personnel.</w:t>
      </w:r>
    </w:p>
    <w:p>
      <w:pPr>
        <w:pStyle w:val="ListParagraph"/>
        <w:numPr>
          <w:ilvl w:val="0"/>
          <w:numId w:val="2"/>
        </w:numPr>
        <w:spacing w:after="80" w:line="280"/>
      </w:pPr>
      <w:r>
        <w:t xml:space="preserve">Activer l'« Incarnation robotique » seulement lorsque le robot, réel ou simulé, doit accompagner le travail ; elle est désactivée par défaut.</w:t>
      </w:r>
    </w:p>
    <w:p>
      <w:pPr>
        <w:spacing w:after="140" w:line="300"/>
        <w:jc w:val="both"/>
      </w:pPr>
      <w:r>
        <w:t xml:space="preserve">Sous macOS, les voix françaises s'ajoutent dans Réglages Système › Accessibilité › Contenu énoncé ; la synthèse vocale attribue une voix distincte à chaque personnage joué par le partenaire, dans la mesure des voix installées.</w:t>
      </w:r>
    </w:p>
    <w:p>
      <w:pPr>
        <w:pStyle w:val="Heading1"/>
      </w:pPr>
      <w:r>
        <w:t xml:space="preserve">4. Les fonctions du partenaire</w:t>
      </w:r>
    </w:p>
    <w:p>
      <w:pPr>
        <w:pStyle w:val="Heading2"/>
      </w:pPr>
      <w:r>
        <w:t xml:space="preserve">4.1 Compagnon de formation</w:t>
      </w:r>
    </w:p>
    <w:p>
      <w:pPr>
        <w:spacing w:after="140" w:line="300"/>
        <w:jc w:val="both"/>
      </w:pPr>
      <w:r>
        <w:t xml:space="preserve">L'onglet « Formation » restitue les 97 exercices du livret, répartis sur trois années (216, 240 et 260 heures), selon le format constant de l'ouvrage : titre, fiche technique, justification pédagogique, déroulement, variantes et note pédagogique (Gagné, </w:t>
      </w:r>
      <w:r>
        <w:rPr>
          <w:i/>
          <w:iCs/>
        </w:rPr>
        <w:t xml:space="preserve">Livret</w:t>
      </w:r>
      <w:r>
        <w:t xml:space="preserve">, « Structure de l'ouvrage »). Le texte n'est pas réécrit : il est extrait tel quel, de sorte que l'autorité pédagogique demeure celle du livret. Le bouton « Guider l'exercice » lit chaque étape à voix haute et déclenche les minuteurs que le livret indique entre parenthèses ; lorsque l'incarnation est active, le robot accompagne l'exercice — souffle en quatre temps pour la « Respiration de scène », immobilité pour le « Silence collectif », miroir lent pour les exercices de mouvement.</w:t>
      </w:r>
    </w:p>
    <w:p>
      <w:pPr>
        <w:spacing w:after="140" w:line="300"/>
        <w:jc w:val="both"/>
      </w:pPr>
      <w:r>
        <w:t xml:space="preserve">La séance type suit la structure prescrite pour la première année : un échauffement de dix à quinze minutes, deux exercices de fond d'environ vingt minutes, un exercice de synthèse et un bilan collectif de dix minutes (Gagné, </w:t>
      </w:r>
      <w:r>
        <w:rPr>
          <w:i/>
          <w:iCs/>
        </w:rPr>
        <w:t xml:space="preserve">Livret</w:t>
      </w:r>
      <w:r>
        <w:t xml:space="preserve">, partie I) ; le planificateur privilégie les exercices que l'acteur n'a pas encore consignés. Le calendrier de progression et la grille d'auto-évaluation hebdomadaire (présence physique, écoute du groupe, voix et respiration, émotions authentiques, créativité libre, travail de scène) sont repris du chapitre 9 de la première année.</w:t>
      </w:r>
    </w:p>
    <w:p>
      <w:pPr>
        <w:pStyle w:val="Heading2"/>
      </w:pPr>
      <w:r>
        <w:t xml:space="preserve">4.2 Répétiteur</w:t>
      </w:r>
    </w:p>
    <w:p>
      <w:pPr>
        <w:spacing w:after="140" w:line="300"/>
        <w:jc w:val="both"/>
      </w:pPr>
      <w:r>
        <w:t xml:space="preserve">Le répétiteur donne les répliques des rôles que l'acteur ne joue pas, puis écoute. La fin de la réplique de l'acteur est détectée par un silence d'une durée réglable (1,2 s par défaut), ou signalée par la touche Entrée ; si l'acteur se tait au-delà du délai choisi, le souffleur murmure les premiers mots, puis affiche la réplique au second appel. La mémorisation progressive masque le texte par degrés : texte entier, initiales, premier mot, réplique de mémoire.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30"/>
        <w:gridCol w:w="3330"/>
      </w:tblGrid>
      <w:tr>
        <w:trPr>
          <w:tblHeader/>
        </w:trPr>
        <w:tc>
          <w:tcPr>
            <w:tcW w:type="dxa" w:w="210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Mesure</w:t>
            </w:r>
          </w:p>
        </w:tc>
        <w:tc>
          <w:tcPr>
            <w:tcW w:type="dxa" w:w="393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Calcul</w:t>
            </w:r>
          </w:p>
        </w:tc>
        <w:tc>
          <w:tcPr>
            <w:tcW w:type="dxa" w:w="333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Lecture prudente</w:t>
            </w:r>
          </w:p>
        </w:tc>
      </w:tr>
      <w:tr>
        <w:trPr>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Reprise de réplique</w:t>
            </w:r>
          </w:p>
        </w:tc>
        <w:tc>
          <w:tcPr>
            <w:tcW w:type="dxa" w:w="39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Délai entre la fin de la réplique donnée et le début de la parole (détection d'activité vocale locale)</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Indice de coordination ; sa dispersion, d'un passage à l'autre, renseigne la stabilisation</w:t>
            </w:r>
          </w:p>
        </w:tc>
      </w:tr>
      <w:tr>
        <w:trPr>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Durée, pauses, débit</w:t>
            </w:r>
          </w:p>
        </w:tc>
        <w:tc>
          <w:tcPr>
            <w:tcW w:type="dxa" w:w="39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Durée de phonation, silences internes ≥ 250 ms, syllabes estimées par seconde</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Débits hors de 1 à 12 syllabes/s écartés comme détections douteuses</w:t>
            </w:r>
          </w:p>
        </w:tc>
      </w:tr>
      <w:tr>
        <w:trPr>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Intensité, dynamique</w:t>
            </w:r>
          </w:p>
        </w:tc>
        <w:tc>
          <w:tcPr>
            <w:tcW w:type="dxa" w:w="39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Niveau moyen et écart au maximum (dB relatifs)</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Comparaison d'une prise à l'autre seulement, à micro constant</w:t>
            </w:r>
          </w:p>
        </w:tc>
      </w:tr>
      <w:tr>
        <w:trPr>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Fidélité au texte</w:t>
            </w:r>
          </w:p>
        </w:tc>
        <w:tc>
          <w:tcPr>
            <w:tcW w:type="dxa" w:w="39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Alignement mot à mot de la transcription et du texte (omissions, ajouts, substitutions)</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Dépend de la qualité de la reconnaissance vocale</w:t>
            </w:r>
          </w:p>
        </w:tc>
      </w:tr>
      <w:tr>
        <w:trPr>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Appels au souffleur</w:t>
            </w:r>
          </w:p>
        </w:tc>
        <w:tc>
          <w:tcPr>
            <w:tcW w:type="dxa" w:w="39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Nombre d'interventions par réplique</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Indice de mémorisation</w:t>
            </w:r>
          </w:p>
        </w:tc>
      </w:tr>
    </w:tbl>
    <w:p>
      <w:pPr>
        <w:spacing w:after="220" w:before="80"/>
      </w:pPr>
      <w:r>
        <w:rPr>
          <w:i/>
          <w:iCs/>
          <w:sz w:val="19"/>
          <w:szCs w:val="19"/>
        </w:rPr>
        <w:t xml:space="preserve">Tableau 2 — Mesures du répétiteur et de l'analyste du jeu.</w:t>
      </w:r>
    </w:p>
    <w:p>
      <w:pPr>
        <w:pStyle w:val="Heading2"/>
      </w:pPr>
      <w:r>
        <w:t xml:space="preserve">4.3 Variations émotionnelles</w:t>
      </w:r>
    </w:p>
    <w:p>
      <w:pPr>
        <w:spacing w:after="140" w:line="300"/>
        <w:jc w:val="both"/>
      </w:pPr>
      <w:r>
        <w:t xml:space="preserve">Le moteur de variations répond à une exigence double : offrir, pour chaque réplique à l'étude, des colorations de jeu adaptées au texte, et laisser ouverte l'alternative entre l'émulation du jeu humain et une voie proprement machinique. Il relève d'abord des indices explicites — didascalies (« avec colère », « à part », « dans un souffle »), lexique, ponctuation —, chacun justifiant son score, puis formule trois propositions : une lecture du texte, un contre-emploi qui joue contre l'indice dominant pour éprouver le sous-texte, et un mélange de deux affects, au sens de l'exercice « Mix d'émotions » (Gagné, </w:t>
      </w:r>
      <w:r>
        <w:rPr>
          <w:i/>
          <w:iCs/>
        </w:rPr>
        <w:t xml:space="preserve">Livret</w:t>
      </w:r>
      <w:r>
        <w:t xml:space="preserve">, ex. 5.3). L'intensité se règle de 1 à 10, comme dans l'exercice « Graduation d'émotions » (ex. 5.2), et cinq registres stylistiques sont disponibles — réalisme psychologique, farce populaire, tragédie grecque, film muet, documentaire —, repris de l'exercice « Variation sur un thème » (ex. 6.3).</w:t>
      </w:r>
    </w:p>
    <w:p>
      <w:pPr>
        <w:spacing w:after="140" w:line="300"/>
        <w:jc w:val="both"/>
      </w:pPr>
      <w:r>
        <w:t xml:space="preserve">Le régime d'</w:t>
      </w:r>
      <w:r>
        <w:rPr>
          <w:b/>
          <w:bCs/>
        </w:rPr>
        <w:t xml:space="preserve">émulation humaine</w:t>
      </w:r>
      <w:r>
        <w:t xml:space="preserve"> rend la variation par une prosodie (débit, hauteur, volume, pauses aux ponctuations) et par des postures inspirées du jeu humain. Le régime de la </w:t>
      </w:r>
      <w:r>
        <w:rPr>
          <w:b/>
          <w:bCs/>
        </w:rPr>
        <w:t xml:space="preserve">voie machinique</w:t>
      </w:r>
      <w:r>
        <w:t xml:space="preserve">, au contraire, renonce à imiter : il projette la variation sur les quatre facteurs d'effort de l'analyse du mouvement de Laban — poids, temps, espace, flux —, dont le programme rappelle qu'ils forment, avec le corps, la forme et l'espace, un vocabulaire structuré d'observation (Gagné, </w:t>
      </w:r>
      <w:r>
        <w:rPr>
          <w:i/>
          <w:iCs/>
        </w:rPr>
        <w:t xml:space="preserve">Programme de recherche</w:t>
      </w:r>
      <w:r>
        <w:t xml:space="preserve"> 2.2). Un effort fort élargit l'ampleur, un effort soudain raccourcit les pas, un espace indirect déphase plusieurs articulations, un flux contenu marque des tenues ; la voix, délibérément non humaine, garde une hauteur fixe ou se réduit à un signal tonal sans mots. L'effort peut d'ailleurs être composé directement, sans aucune étiquette émotionnelle.</w:t>
      </w:r>
    </w:p>
    <w:p>
      <w:pPr>
        <w:spacing w:after="140" w:line="300"/>
        <w:jc w:val="both"/>
      </w:pPr>
      <w:r>
        <w:t xml:space="preserve">(Inférence) Les correspondances émotion → prosodie → effort sont des heuristiques de départ, modifiables dans le fichier variations.py ; elles ne prétendent ni à l'universalité des émotions ni à une validation expérimentale. Le programme lui-même distingue l'étiquette computationnelle, l'intention déclarée de l'artiste et l'interprétation située du spectateur, et rappelle que le résultat de Samadani, Gorbet et Kulić — un classificateur reconnaissant l'émotion cible dans 72 % des mouvements générés — constitue un point de comparaison, non une preuve d'une reconnaissance générale des affects (Gagné, </w:t>
      </w:r>
      <w:r>
        <w:rPr>
          <w:i/>
          <w:iCs/>
        </w:rPr>
        <w:t xml:space="preserve">Programme de recherche</w:t>
      </w:r>
      <w:r>
        <w:t xml:space="preserve"> 2.6).</w:t>
      </w:r>
    </w:p>
    <w:p>
      <w:pPr>
        <w:pStyle w:val="Heading2"/>
      </w:pPr>
      <w:r>
        <w:t xml:space="preserve">4.4 Analyse de pièce</w:t>
      </w:r>
    </w:p>
    <w:p>
      <w:pPr>
        <w:spacing w:after="140" w:line="300"/>
        <w:jc w:val="both"/>
      </w:pPr>
      <w:r>
        <w:t xml:space="preserve">L'analyste dramaturgique calcule, de manière déterministe et vérifiable, la distribution de la parole, la matrice des configurations (scènes × personnages), un réseau de coprésence dans l'esprit de l'analyse de l'intrigue par les réseaux proposée par Moretti, les stichomythies (au moins quatre répliques brèves alternées) et les tirades les plus longues. Sur </w:t>
      </w:r>
      <w:r>
        <w:rPr>
          <w:i/>
          <w:iCs/>
        </w:rPr>
        <w:t xml:space="preserve">Le Misanthrope</w:t>
      </w:r>
      <w:r>
        <w:t xml:space="preserve">, Alceste porte 39,3 % des mots prononcés et seize stichomythies sont relevées. Une limite est assumée et affichée : la présence est déduite de la prise de parole, en sorte qu'un personnage muet en scène n'est pas compté.</w:t>
      </w:r>
    </w:p>
    <w:p>
      <w:pPr>
        <w:spacing w:after="140" w:line="300"/>
        <w:jc w:val="both"/>
      </w:pPr>
      <w:r>
        <w:t xml:space="preserve">La fiche de personnage réunit les matériaux textuels nécessaires aux questions de Stanislavski reprises par le livret — qui suis-je, où suis-je, que veux-je, qu'est-ce qui m'en empêche, que suis-je prêt à faire — et à la construction du rôle en quatre couches, physique, sociale, psychologique et spirituelle (Gagné, </w:t>
      </w:r>
      <w:r>
        <w:rPr>
          <w:i/>
          <w:iCs/>
        </w:rPr>
        <w:t xml:space="preserve">Livret</w:t>
      </w:r>
      <w:r>
        <w:t xml:space="preserve">, 2e année, ex. 2.1 et 2.2) ; les réponses demeurent celles de l'acteur. Avec une clé API, une lecture interprétative propose fable, modèle actantiel, enjeux, pistes de jeu et place possible d'un partenaire robotique ; toute citation qui n'est pas retrouvée mot pour mot dans la pièce est retirée.</w:t>
      </w:r>
    </w:p>
    <w:p>
      <w:pPr>
        <w:pStyle w:val="Heading2"/>
      </w:pPr>
      <w:r>
        <w:t xml:space="preserve">4.5 Répertoire</w:t>
      </w:r>
    </w:p>
    <w:p>
      <w:pPr>
        <w:spacing w:after="140" w:line="300"/>
        <w:jc w:val="both"/>
      </w:pPr>
      <w:r>
        <w:t xml:space="preserve">La recherche croisée interroge DraCor, plateforme de corpus dramatiques encodés en TEI, dont le corpus français compte 1 940 pièces dans la version consultée ; chaque fiche indique le nombre de personnages masculins et féminins, le genre normalisé et l'année, ce qui permet les requêtes du type « deux hommes et trois femmes, comédie, avant 1700 » (DraCor). L'import récupère le texte intégral, ses actes, scènes, répliques et didascalies, ainsi que la licence de l'édition numérique : </w:t>
      </w:r>
      <w:r>
        <w:rPr>
          <w:i/>
          <w:iCs/>
        </w:rPr>
        <w:t xml:space="preserve">Le Misanthrope</w:t>
      </w:r>
      <w:r>
        <w:t xml:space="preserve"> est diffusé sous licence CC BY-NC-SA 4.0, dont la clause de non-utilisation commerciale mérite examen pour des cours payants.</w:t>
      </w:r>
    </w:p>
    <w:p>
      <w:pPr>
        <w:spacing w:after="140" w:line="300"/>
        <w:jc w:val="both"/>
      </w:pPr>
      <w:r>
        <w:t xml:space="preserve">Les catalogues de théâtre contemporain — Centre des auteurs dramatiques, Playwrights Guild of Canada, Le Proscenium, Théâtre-contemporain.net, Doollee — portent pour l'essentiel sur des textes protégés : le partenaire en ouvre le moteur de recherche sans en aspirer le contenu, et l'utilisateur importe ensuite les textes dont il détient légalement l'usage (CEAD ; Le Proscenium ; Doollee). Le Proscenium, par exemple, affiche la distribution sous la forme « 2H 5Fe » et renvoie à l'auteur pour le texte intégral et l'autorisation de jeu (Le Proscenium). Deux noms de la liste fournie n'ont pas pu être identifiés tels qu'écrits ; « Dooloop » semble désigner Doollee, sans que ce rapprochement soit confirmé.</w:t>
      </w:r>
    </w:p>
    <w:p>
      <w:pPr>
        <w:pStyle w:val="Heading2"/>
      </w:pPr>
      <w:r>
        <w:t xml:space="preserve">4.6 Conseiller du spectacle</w:t>
      </w:r>
    </w:p>
    <w:p>
      <w:pPr>
        <w:spacing w:after="140" w:line="300"/>
        <w:jc w:val="both"/>
      </w:pPr>
      <w:r>
        <w:t xml:space="preserve">Le conseiller répond aux questions portant sur le jeu, la voix, le corps, la dramaturgie, la mise en scène, la scénographie, la robotique et l'intelligence artificielle, à partir des documents indexés — livret, programme de recherche, édition restructurée, dossier expérimental, projet « L'Acteur augmenté », site du Théâtre du Triomphe et rapport de Genewein et ses collègues sur la trajectoire de l'AGI à l'ASI (Genewein et al.) — ainsi que de la pièce à l'étude. Sans clé API, il présente les passages les plus pertinents avec leur référence ; avec une clé, il synthétise, mais ne peut citer que les passages qui lui ont été fournis, toute référence inconnue étant retirée et signalée.</w:t>
      </w:r>
    </w:p>
    <w:p>
      <w:pPr>
        <w:pStyle w:val="Heading2"/>
      </w:pPr>
      <w:r>
        <w:t xml:space="preserve">4.7 Partition de coprésence et plan scellé</w:t>
      </w:r>
    </w:p>
    <w:p>
      <w:pPr>
        <w:spacing w:after="140" w:line="300"/>
        <w:jc w:val="both"/>
      </w:pPr>
      <w:r>
        <w:t xml:space="preserve">L'onglet de régie opérationnalise le cas A du dossier expérimental : une partition de coprésence d'inspiration postdramatique en quatre situations — attente partagée, marche accordée, adresse au public, silence tenu — et trois familles de perturbations, P1 (modification de ±20 % du tempo), P2 (substitution d'un geste homologue avec une probabilité de 0,15 sur un segment de cinq minutes) et P3 (changement ponctuel de partenaire) (Gagné, </w:t>
      </w:r>
      <w:r>
        <w:rPr>
          <w:i/>
          <w:iCs/>
        </w:rPr>
        <w:t xml:space="preserve">Dossier expérimental</w:t>
      </w:r>
      <w:r>
        <w:t xml:space="preserve"> 2.5). Le dossier précise que seul le régisseur-expérimentateur détient la séquence scellée ; le partenaire en donne une traduction technique : le plan est validé, puis scellé par une empreinte SHA-256 inscrite dans les métadonnées de la séance avant toute exécution, et son descellement, après la séance, recalcule l'empreinte pour attester l'intégrité. Les perturbations appliquées sont consignées au journal, non affichées à l'écran de plateau.</w:t>
      </w:r>
    </w:p>
    <w:p>
      <w:pPr>
        <w:pStyle w:val="Heading1"/>
      </w:pPr>
      <w:r>
        <w:t xml:space="preserve">5. Correspondance avec le cadre relationnel</w:t>
      </w:r>
    </w:p>
    <w:p>
      <w:pPr>
        <w:spacing w:after="140" w:line="300"/>
        <w:jc w:val="both"/>
      </w:pPr>
      <w:r>
        <w:t xml:space="preserve">Le cadre relationnel de ROBO-SCÈNE postule cinq mécanismes — coordination, ajustement réciproque, mémoire relationnelle, stabilisation, réorganisation —, auxquels s'ajoutent deux dimensions transversales, la présence et la réparation (Gagné, </w:t>
      </w:r>
      <w:r>
        <w:rPr>
          <w:i/>
          <w:iCs/>
        </w:rPr>
        <w:t xml:space="preserve">Dossier expérimental</w:t>
      </w:r>
      <w:r>
        <w:t xml:space="preserve"> 1.2). Le tableau suivant indique, pour chacun, ce que le partenaire rend observable, et ce qu'il ne mesure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Dimension</w:t>
            </w:r>
          </w:p>
        </w:tc>
        <w:tc>
          <w:tcPr>
            <w:tcW w:type="dxa" w:w="390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Ce que le partenaire documente</w:t>
            </w:r>
          </w:p>
        </w:tc>
        <w:tc>
          <w:tcPr>
            <w:tcW w:type="dxa" w:w="346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Ce qu'il ne mesure pas</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Coordination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Reprises de réplique, chevauchements, tempo des situations de coprésence</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La qualité vécue de l'accordage</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Ajustement réciproque</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Variation du partenaire d'un passage à l'autre (mode « cycle ») et réponse de l'acteur</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L'intention d'ajuster</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Mémoire relationnelle</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Traces des passages successifs d'un acteur sur un rôle</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La mémoire elle-même : le cadre la distingue explicitement de la mémoire informatique</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Stabilisation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Pente de la dispersion des latences et des appels au souffleur (HE1)</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La robustesse hors des conditions de répétition</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Réorganisation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Hausse puis retour des latences autour des passages perturbés (P1 à P3)</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Les stratégies de réorganisation, qui relèvent de l'observation et de l'entretien</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Réparation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Appels au souffleur et reprises après rupture</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L'initiative de la réparation (comédien ou système), à annoter</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Présence</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Aucune mesure directe</w:t>
            </w:r>
          </w:p>
        </w:tc>
        <w:tc>
          <w:tcPr>
            <w:tcW w:type="dxa" w:w="3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La présence, inférée de la convergence d'indices selon le protocole</w:t>
            </w:r>
          </w:p>
        </w:tc>
      </w:tr>
    </w:tbl>
    <w:p>
      <w:pPr>
        <w:spacing w:after="220" w:before="80"/>
      </w:pPr>
      <w:r>
        <w:rPr>
          <w:i/>
          <w:iCs/>
          <w:sz w:val="19"/>
          <w:szCs w:val="19"/>
        </w:rPr>
        <w:t xml:space="preserve">Tableau 3 — Mécanismes et dimensions du cadre relationnel, indices produits et limites.</w:t>
      </w:r>
    </w:p>
    <w:p>
      <w:pPr>
        <w:spacing w:after="140" w:line="300"/>
        <w:jc w:val="both"/>
      </w:pPr>
      <w:r>
        <w:t xml:space="preserve">Cette correspondance prend au sérieux l'avertissement de l'édition restructurée, selon lequel la mémoire relationnelle ne se réduit pas à un stockage informatique (Gagné, </w:t>
      </w:r>
      <w:r>
        <w:rPr>
          <w:i/>
          <w:iCs/>
        </w:rPr>
        <w:t xml:space="preserve">Édition restructurée</w:t>
      </w:r>
      <w:r>
        <w:t xml:space="preserve"> 3.5) : le dossier des traces s'appelle donc « passages », non « mémoire ». (Inférence) En revanche, l'hypothèse HE1 — la stabilité des coordinations augmente avec le nombre de répétitions — trouve dans la dispersion des latences un indicateur directement calculable, dont la pente est affichée après chaque passage.</w:t>
      </w:r>
    </w:p>
    <w:p>
      <w:pPr>
        <w:pStyle w:val="Heading1"/>
      </w:pPr>
      <w:r>
        <w:t xml:space="preserve">6. Données, consentement et vie privée</w:t>
      </w:r>
    </w:p>
    <w:p>
      <w:pPr>
        <w:spacing w:after="140" w:line="300"/>
        <w:jc w:val="both"/>
      </w:pPr>
      <w:r>
        <w:t xml:space="preserve">Le programme exige, pour les données gestuelles, vocales et biomécaniques, un consentement explicite, spécifique et révisable (Gagné, </w:t>
      </w:r>
      <w:r>
        <w:rPr>
          <w:i/>
          <w:iCs/>
        </w:rPr>
        <w:t xml:space="preserve">Programme de recherche</w:t>
      </w:r>
      <w:r>
        <w:t xml:space="preserve"> 4.3). Le partenaire le décline en quatre consentements séparés, horodatés et révocables : conservation des mesures vocales calculées localement ; transcription par le navigateur ; caméra pour une estimation de pose locale ; versement des traces, pseudonymisées, au corpus de recherche. Sans le premier, aucun passage n'est conservé ; sans le dernier, le journal de séance n'enregistre ni l'identité de l'acteur ni ses mesures détaillées. Le droit de retrait efface l'ensemble des données de l'acteur, et le dossier des données est exclu du dépôt Git.</w:t>
      </w:r>
    </w:p>
    <w:p>
      <w:pPr>
        <w:pStyle w:val="ListParagraph"/>
        <w:numPr>
          <w:ilvl w:val="0"/>
          <w:numId w:val="3"/>
        </w:numPr>
        <w:spacing w:after="80" w:line="280"/>
      </w:pPr>
      <w:r>
        <w:rPr>
          <w:b/>
          <w:bCs/>
        </w:rPr>
        <w:t xml:space="preserve">Détection vocale</w:t>
      </w:r>
      <w:r>
        <w:t xml:space="preserve"> : calculée dans le navigateur à partir du niveau du micro ; aucun son n'est enregistré.</w:t>
      </w:r>
    </w:p>
    <w:p>
      <w:pPr>
        <w:pStyle w:val="ListParagraph"/>
        <w:numPr>
          <w:ilvl w:val="0"/>
          <w:numId w:val="3"/>
        </w:numPr>
        <w:spacing w:after="80" w:line="280"/>
      </w:pPr>
      <w:r>
        <w:rPr>
          <w:b/>
          <w:bCs/>
        </w:rPr>
        <w:t xml:space="preserve">Transcription</w:t>
      </w:r>
      <w:r>
        <w:t xml:space="preserve"> : la spécification permet d'exiger un traitement local ; par défaut, le navigateur peut choisir un traitement local ou distant (MDN). Le partenaire demande le traitement local lorsque la propriété est disponible.</w:t>
      </w:r>
    </w:p>
    <w:p>
      <w:pPr>
        <w:pStyle w:val="ListParagraph"/>
        <w:numPr>
          <w:ilvl w:val="0"/>
          <w:numId w:val="3"/>
        </w:numPr>
        <w:spacing w:after="80" w:line="280"/>
      </w:pPr>
      <w:r>
        <w:rPr>
          <w:b/>
          <w:bCs/>
        </w:rPr>
        <w:t xml:space="preserve">Caméra</w:t>
      </w:r>
      <w:r>
        <w:t xml:space="preserve"> : estimation de pose par MediaPipe Tasks Vision (version 0.10.14) dans le navigateur ; le modèle est téléchargé au premier usage, et seules des grandeurs cinématiques sont transmises au pont.</w:t>
      </w:r>
    </w:p>
    <w:p>
      <w:pPr>
        <w:spacing w:after="140" w:line="300"/>
        <w:jc w:val="both"/>
      </w:pPr>
      <w:r>
        <w:t xml:space="preserve">Les descripteurs de mouvement — énergie cinétique, accélération, rectitude du trajet et secousse — correspondent aux grandeurs que la littérature associe usuellement aux facteurs d'effort de poids, de temps, d'espace et de flux ; cette correspondance est rapportée d'après la revue de Larboulette et Gibet, dont la référence a été vérifiée mais dont le texte intégral n'a pas pu être consulté. Elle doit donc être contrôlée avant toute publication.</w:t>
      </w:r>
    </w:p>
    <w:p>
      <w:pPr>
        <w:pStyle w:val="Heading1"/>
      </w:pPr>
      <w:r>
        <w:t xml:space="preserve">7. Sécurité</w:t>
      </w:r>
    </w:p>
    <w:p>
      <w:pPr>
        <w:spacing w:after="140" w:line="300"/>
        <w:jc w:val="both"/>
      </w:pPr>
      <w:r>
        <w:t xml:space="preserve">Le partenaire n'ajoute aucune voie de commande qui contourne la couche de sécurité : ses gestes sont bornés deux fois, à la génération puis par le pont, ralentis s'ils dépassent la vitesse maximale, et interrompus par l'arrêt d'urgence, que le bouton ARRÊT et la touche Échap déclenchent depuis la page du partenaire comme depuis la console. Un test automatisé vérifie qu'un geste demandé après un arrêt d'urgence est refusé. Cette couche logicielle ne remplace pas l'arrêt d'urgence matériel, dont ISO 13850 fixe les principes de conception (ISO, </w:t>
      </w:r>
      <w:r>
        <w:rPr>
          <w:i/>
          <w:iCs/>
        </w:rPr>
        <w:t xml:space="preserve">Safety of Machinery</w:t>
      </w:r>
      <w:r>
        <w:t xml:space="preserve">) ; et si ISO 10218-1 exclut de son champ les robots de service accessibles au public, ses principes de conception intrinsèquement sûre demeurent une référence utile pour un robot de scène (ISO, </w:t>
      </w:r>
      <w:r>
        <w:rPr>
          <w:i/>
          <w:iCs/>
        </w:rPr>
        <w:t xml:space="preserve">Robotics</w:t>
      </w:r>
      <w:r>
        <w:t xml:space="preserve">). Le programme y ajoute la sécurité somatique : analyse de risques avant répétition, limites vérifiables, entraînement partagé et débriefing somatique (Gagné, </w:t>
      </w:r>
      <w:r>
        <w:rPr>
          <w:i/>
          <w:iCs/>
        </w:rPr>
        <w:t xml:space="preserve">Programme de recherche</w:t>
      </w:r>
      <w:r>
        <w:t xml:space="preserve"> 3.1.2).</w:t>
      </w:r>
    </w:p>
    <w:p>
      <w:pPr>
        <w:pStyle w:val="Heading1"/>
      </w:pPr>
      <w:r>
        <w:t xml:space="preserve">8. Limites connues et vérifications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Élément</w:t>
            </w:r>
          </w:p>
        </w:tc>
        <w:tc>
          <w:tcPr>
            <w:tcW w:type="dxa" w:w="6760"/>
            <w:tcBorders>
              <w:top w:val="single" w:color="BFBFBF" w:sz="4"/>
              <w:left w:val="single" w:color="BFBFBF" w:sz="4"/>
              <w:bottom w:val="single" w:color="BFBFBF" w:sz="4"/>
              <w:right w:val="single" w:color="BFBFBF" w:sz="4"/>
            </w:tcBorders>
            <w:shd w:fill="E8E2D0" w:color="auto" w:val="clear"/>
            <w:tcMar>
              <w:top w:type="dxa" w:w="70"/>
              <w:left w:type="dxa" w:w="110"/>
              <w:bottom w:type="dxa" w:w="70"/>
              <w:right w:type="dxa" w:w="110"/>
            </w:tcMar>
          </w:tcPr>
          <w:p>
            <w:pPr>
              <w:spacing w:after="0" w:line="250"/>
            </w:pPr>
            <w:r>
              <w:rPr>
                <w:b/>
                <w:bCs/>
                <w:sz w:val="19"/>
                <w:szCs w:val="19"/>
              </w:rPr>
              <w:t xml:space="preserve">État</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Tests automatisés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29 tests réussis (7 console, 22 partenaire), robot simulé, sans appel réseau ; parcours complet de l'interface vérifié dans Chromium avec micro factice</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Robot réel</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Non essayé : micrologiciel compilé (paquet esp32 3.3.12), aucune carte physique utilisée</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Agents Claude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Testés avec un client fictif seulement ; aucune clé API n'a été utilisée</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Import DraCor</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Essayé avec succès sur Le Misanthrope ; dépend de la disponibilité du service</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Caméra et transcription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Code présent, non essayé avec une caméra et un micro réels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Heuristiques de variations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Tables de départ non validées expérimentalement</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Citations internes du livret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Restituées telles quelles ; les pages et citations qu'il attribue à des tiers n'ont pas été revérifiées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Débit syllabique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sz w:val="19"/>
                <w:szCs w:val="19"/>
              </w:rPr>
              <w:t xml:space="preserve">Estimation par groupes vocaliques, non métrique</w:t>
            </w:r>
          </w:p>
        </w:tc>
      </w:tr>
    </w:tbl>
    <w:p>
      <w:pPr>
        <w:spacing w:after="220" w:before="80"/>
      </w:pPr>
      <w:r>
        <w:rPr>
          <w:i/>
          <w:iCs/>
          <w:sz w:val="19"/>
          <w:szCs w:val="19"/>
        </w:rPr>
        <w:t xml:space="preserve">Tableau 4 — Ce qui a été vérifié, et ce qui reste à éprouver.</w:t>
      </w:r>
    </w:p>
    <w:p>
      <w:pPr>
        <w:pStyle w:val="Heading1"/>
      </w:pPr>
      <w:r>
        <w:t xml:space="preserve">Ouvrages cités</w:t>
      </w:r>
    </w:p>
    <w:p>
      <w:pPr>
        <w:spacing w:after="120" w:line="280"/>
        <w:ind w:left="720" w:hanging="720"/>
      </w:pPr>
      <w:r>
        <w:t xml:space="preserve">Centre des auteurs dramatiques. « Répertoire ». </w:t>
      </w:r>
      <w:r>
        <w:rPr>
          <w:i/>
          <w:iCs/>
        </w:rPr>
        <w:t xml:space="preserve">CEAD</w:t>
      </w:r>
      <w:r>
        <w:t xml:space="preserve">, cead.qc.ca/repertoire. Consulté le 10 oct. 2026.</w:t>
      </w:r>
    </w:p>
    <w:p>
      <w:pPr>
        <w:spacing w:after="120" w:line="280"/>
        <w:ind w:left="720" w:hanging="720"/>
      </w:pPr>
      <w:r>
        <w:t xml:space="preserve">« Corrections des prompts agents ». Fichier JSON de convention de sortie des agents, fourni par Sylvain Gagné, 2026.</w:t>
      </w:r>
    </w:p>
    <w:p>
      <w:pPr>
        <w:spacing w:after="120" w:line="280"/>
        <w:ind w:left="720" w:hanging="720"/>
      </w:pPr>
      <w:r>
        <w:t xml:space="preserve">Doollee. </w:t>
      </w:r>
      <w:r>
        <w:rPr>
          <w:i/>
          <w:iCs/>
        </w:rPr>
        <w:t xml:space="preserve">The Online Guide to Modern Playwrights and Theatre Plays</w:t>
      </w:r>
      <w:r>
        <w:t xml:space="preserve">, www.doollee.com. Consulté le 10 oct. 2026.</w:t>
      </w:r>
    </w:p>
    <w:p>
      <w:pPr>
        <w:spacing w:after="120" w:line="280"/>
        <w:ind w:left="720" w:hanging="720"/>
      </w:pPr>
      <w:r>
        <w:t xml:space="preserve">DraCor. </w:t>
      </w:r>
      <w:r>
        <w:rPr>
          <w:i/>
          <w:iCs/>
        </w:rPr>
        <w:t xml:space="preserve">Drama Corpora Project</w:t>
      </w:r>
      <w:r>
        <w:t xml:space="preserve">, API version 1, dracor.org/api/v1. Consulté le 10 oct. 2026.</w:t>
      </w:r>
    </w:p>
    <w:p>
      <w:pPr>
        <w:spacing w:after="120" w:line="280"/>
        <w:ind w:left="720" w:hanging="720"/>
      </w:pPr>
      <w:r>
        <w:t xml:space="preserve">Gagné, Sylvain. </w:t>
      </w:r>
      <w:r>
        <w:rPr>
          <w:i/>
          <w:iCs/>
        </w:rPr>
        <w:t xml:space="preserve">Livret d'exercices pour acteurs : formation professionnelle en trois années</w:t>
      </w:r>
      <w:r>
        <w:t xml:space="preserve">. Édition intégrale enrichie, 2026.</w:t>
      </w:r>
    </w:p>
    <w:p>
      <w:pPr>
        <w:spacing w:after="120" w:line="280"/>
        <w:ind w:left="720" w:hanging="720"/>
      </w:pPr>
      <w:r>
        <w:t xml:space="preserve">---. </w:t>
      </w:r>
      <w:r>
        <w:rPr>
          <w:i/>
          <w:iCs/>
        </w:rPr>
        <w:t xml:space="preserve">Programme de recherche : ROBO-SCÈNE 2026</w:t>
      </w:r>
      <w:r>
        <w:t xml:space="preserve">. Version révisée, 21 août 2026.</w:t>
      </w:r>
    </w:p>
    <w:p>
      <w:pPr>
        <w:spacing w:after="120" w:line="280"/>
        <w:ind w:left="720" w:hanging="720"/>
      </w:pPr>
      <w:r>
        <w:t xml:space="preserve">---. </w:t>
      </w:r>
      <w:r>
        <w:rPr>
          <w:i/>
          <w:iCs/>
        </w:rPr>
        <w:t xml:space="preserve">ROBO-SCÈNE 2026</w:t>
      </w:r>
      <w:r>
        <w:t xml:space="preserve">. Édition restructurée, 2026.</w:t>
      </w:r>
    </w:p>
    <w:p>
      <w:pPr>
        <w:spacing w:after="120" w:line="280"/>
        <w:ind w:left="720" w:hanging="720"/>
      </w:pPr>
      <w:r>
        <w:t xml:space="preserve">---. </w:t>
      </w:r>
      <w:r>
        <w:rPr>
          <w:i/>
          <w:iCs/>
        </w:rPr>
        <w:t xml:space="preserve">ROBO-SCÈNE : dossier expérimental, chapitres 7, 8 et 9</w:t>
      </w:r>
      <w:r>
        <w:t xml:space="preserve">. 2026.</w:t>
      </w:r>
    </w:p>
    <w:p>
      <w:pPr>
        <w:spacing w:after="120" w:line="280"/>
        <w:ind w:left="720" w:hanging="720"/>
      </w:pPr>
      <w:r>
        <w:t xml:space="preserve">Genewein, Tim, et al. « From AGI to ASI ». </w:t>
      </w:r>
      <w:r>
        <w:rPr>
          <w:i/>
          <w:iCs/>
        </w:rPr>
        <w:t xml:space="preserve">arXiv</w:t>
      </w:r>
      <w:r>
        <w:t xml:space="preserve">, 10 juin 2026, arXiv:2606.12683.</w:t>
      </w:r>
    </w:p>
    <w:p>
      <w:pPr>
        <w:spacing w:after="120" w:line="280"/>
        <w:ind w:left="720" w:hanging="720"/>
      </w:pPr>
      <w:r>
        <w:t xml:space="preserve">International Electrotechnical Commission. « ISO/IEC 42001:2023 — Information Technology — Artificial Intelligence — Management System ». </w:t>
      </w:r>
      <w:r>
        <w:rPr>
          <w:i/>
          <w:iCs/>
        </w:rPr>
        <w:t xml:space="preserve">IEC Webstore</w:t>
      </w:r>
      <w:r>
        <w:t xml:space="preserve">, 18 déc. 2023, webstore.iec.ch/publication/90574.</w:t>
      </w:r>
    </w:p>
    <w:p>
      <w:pPr>
        <w:spacing w:after="120" w:line="280"/>
        <w:ind w:left="720" w:hanging="720"/>
      </w:pPr>
      <w:r>
        <w:t xml:space="preserve">International Organization for Standardization. </w:t>
      </w:r>
      <w:r>
        <w:rPr>
          <w:i/>
          <w:iCs/>
        </w:rPr>
        <w:t xml:space="preserve">Robotics — Safety Requirements — Part 1: Industrial Robots</w:t>
      </w:r>
      <w:r>
        <w:t xml:space="preserve">. ISO 10218-1:2025, 2025.</w:t>
      </w:r>
    </w:p>
    <w:p>
      <w:pPr>
        <w:spacing w:after="120" w:line="280"/>
        <w:ind w:left="720" w:hanging="720"/>
      </w:pPr>
      <w:r>
        <w:t xml:space="preserve">---. </w:t>
      </w:r>
      <w:r>
        <w:rPr>
          <w:i/>
          <w:iCs/>
        </w:rPr>
        <w:t xml:space="preserve">Safety of Machinery — Emergency Stop Function — Principles for Design</w:t>
      </w:r>
      <w:r>
        <w:t xml:space="preserve">. ISO 13850:2015, 2015.</w:t>
      </w:r>
    </w:p>
    <w:p>
      <w:pPr>
        <w:spacing w:after="120" w:line="280"/>
        <w:ind w:left="720" w:hanging="720"/>
      </w:pPr>
      <w:r>
        <w:t xml:space="preserve">Larboulette, Caroline, et Sylvie Gibet. « A Review of Computable Expressive Descriptors of Human Motion ». </w:t>
      </w:r>
      <w:r>
        <w:rPr>
          <w:i/>
          <w:iCs/>
        </w:rPr>
        <w:t xml:space="preserve">Proceedings of the 2nd International Workshop on Movement and Computing</w:t>
      </w:r>
      <w:r>
        <w:t xml:space="preserve">, 2015, pp. 21-28, doi:10.1145/2790994.2790998.</w:t>
      </w:r>
    </w:p>
    <w:p>
      <w:pPr>
        <w:spacing w:after="120" w:line="280"/>
        <w:ind w:left="720" w:hanging="720"/>
      </w:pPr>
      <w:r>
        <w:t xml:space="preserve">Le Proscenium. </w:t>
      </w:r>
      <w:r>
        <w:rPr>
          <w:i/>
          <w:iCs/>
        </w:rPr>
        <w:t xml:space="preserve">Textes de théâtre gratuits d'auteurs contemporains francophones</w:t>
      </w:r>
      <w:r>
        <w:t xml:space="preserve">, www.leproscenium.com. Consulté le 10 oct. 2026.</w:t>
      </w:r>
    </w:p>
    <w:p>
      <w:pPr>
        <w:spacing w:after="120" w:line="280"/>
        <w:ind w:left="720" w:hanging="720"/>
      </w:pPr>
      <w:r>
        <w:t xml:space="preserve">MDN Web Docs. « SpeechRecognition: processLocally Property ». </w:t>
      </w:r>
      <w:r>
        <w:rPr>
          <w:i/>
          <w:iCs/>
        </w:rPr>
        <w:t xml:space="preserve">Mozilla</w:t>
      </w:r>
      <w:r>
        <w:t xml:space="preserve">, developer.mozilla.org/docs/Web/API/SpeechRecognition/processLocally. Consulté le 10 oct. 2026.</w:t>
      </w:r>
    </w:p>
    <w:p>
      <w:pPr>
        <w:spacing w:after="120" w:line="280"/>
        <w:ind w:left="720" w:hanging="720"/>
      </w:pPr>
      <w:r>
        <w:t xml:space="preserve">Molière. </w:t>
      </w:r>
      <w:r>
        <w:rPr>
          <w:i/>
          <w:iCs/>
        </w:rPr>
        <w:t xml:space="preserve">Le Misanthrope</w:t>
      </w:r>
      <w:r>
        <w:t xml:space="preserve">. 1666. Édition numérique TEI, corpus FreDraCor, licence CC BY-NC-SA 4.0, dracor.org/fre/moliere-misanthrope.</w:t>
      </w:r>
    </w:p>
    <w:p>
      <w:pPr>
        <w:spacing w:after="120" w:line="280"/>
        <w:ind w:left="720" w:hanging="720"/>
      </w:pPr>
      <w:r>
        <w:t xml:space="preserve">Moretti, Franco. « Network Theory, Plot Analysis ». </w:t>
      </w:r>
      <w:r>
        <w:rPr>
          <w:i/>
          <w:iCs/>
        </w:rPr>
        <w:t xml:space="preserve">New Left Review</w:t>
      </w:r>
      <w:r>
        <w:t xml:space="preserve">, no 68, 2011, newleftreview.org/issues/ii68/articles/franco-moretti-network-theory-plot-analysis.</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A6D1F" w:sz="12"/>
              <w:left w:val="single" w:color="8A6D1F" w:sz="12"/>
              <w:bottom w:val="single" w:color="8A6D1F" w:sz="12"/>
              <w:right w:val="single" w:color="8A6D1F" w:sz="12"/>
            </w:tcBorders>
            <w:shd w:fill="F7F3E8" w:color="auto" w:val="clear"/>
            <w:tcMar>
              <w:top w:type="dxa" w:w="160"/>
              <w:left w:type="dxa" w:w="220"/>
              <w:bottom w:type="dxa" w:w="160"/>
              <w:right w:type="dxa" w:w="220"/>
            </w:tcMar>
          </w:tcPr>
          <w:p>
            <w:pPr>
              <w:spacing w:after="120"/>
            </w:pPr>
            <w:r>
              <w:rPr>
                <w:b/>
                <w:bCs/>
                <w:sz w:val="24"/>
                <w:szCs w:val="24"/>
              </w:rPr>
              <w:t xml:space="preserve">Encadré final — Conformité ISO/IEC 42001</w:t>
            </w:r>
          </w:p>
          <w:p>
            <w:pPr>
              <w:spacing w:after="160"/>
            </w:pPr>
            <w:r>
              <w:rPr>
                <w:i/>
                <w:iCs/>
                <w:sz w:val="20"/>
                <w:szCs w:val="20"/>
              </w:rPr>
              <w:t xml:space="preserve">Mise en conformité vérifiée le 10 octobre 2026</w:t>
            </w:r>
          </w:p>
          <w:p>
            <w:pPr>
              <w:spacing w:after="100" w:line="276"/>
            </w:pPr>
            <w:r>
              <w:rPr>
                <w:sz w:val="21"/>
                <w:szCs w:val="21"/>
              </w:rPr>
              <w:t xml:space="preserve">✅ </w:t>
            </w:r>
            <w:r>
              <w:rPr>
                <w:b/>
                <w:bCs/>
                <w:sz w:val="21"/>
                <w:szCs w:val="21"/>
              </w:rPr>
              <w:t xml:space="preserve">Gouvernance et pilotage</w:t>
            </w:r>
            <w:r>
              <w:rPr>
                <w:sz w:val="21"/>
                <w:szCs w:val="21"/>
              </w:rPr>
              <w:t xml:space="preserve"> : finalités et seuils déclarés (section 1) ; l'opératrice décide de l'incarnation, le régisseur scelle les plans ; aucune exécution autonome des propositions d'IA.</w:t>
            </w:r>
          </w:p>
          <w:p>
            <w:pPr>
              <w:spacing w:after="100" w:line="276"/>
            </w:pPr>
            <w:r>
              <w:rPr>
                <w:sz w:val="21"/>
                <w:szCs w:val="21"/>
              </w:rPr>
              <w:t xml:space="preserve">✅ </w:t>
            </w:r>
            <w:r>
              <w:rPr>
                <w:b/>
                <w:bCs/>
                <w:sz w:val="21"/>
                <w:szCs w:val="21"/>
              </w:rPr>
              <w:t xml:space="preserve">Transparence et documentation</w:t>
            </w:r>
            <w:r>
              <w:rPr>
                <w:sz w:val="21"/>
                <w:szCs w:val="21"/>
              </w:rPr>
              <w:t xml:space="preserve"> : sources citées, inférences signalées, mode de chaque agent affiché (déterministe ou Claude), heuristiques et limites déclarées (sections 4.3 et 8).</w:t>
            </w:r>
          </w:p>
          <w:p>
            <w:pPr>
              <w:spacing w:after="100" w:line="276"/>
            </w:pPr>
            <w:r>
              <w:rPr>
                <w:sz w:val="21"/>
                <w:szCs w:val="21"/>
              </w:rPr>
              <w:t xml:space="preserve">✅ </w:t>
            </w:r>
            <w:r>
              <w:rPr>
                <w:b/>
                <w:bCs/>
                <w:sz w:val="21"/>
                <w:szCs w:val="21"/>
              </w:rPr>
              <w:t xml:space="preserve">Gestion des risques</w:t>
            </w:r>
            <w:r>
              <w:rPr>
                <w:sz w:val="21"/>
                <w:szCs w:val="21"/>
              </w:rPr>
              <w:t xml:space="preserve"> : double bornage des gestes, arrêt d'urgence testé, repli déterministe, débits implausibles écartés, citations et références inventées retirées.</w:t>
            </w:r>
          </w:p>
          <w:p>
            <w:pPr>
              <w:spacing w:after="100" w:line="276"/>
            </w:pPr>
            <w:r>
              <w:rPr>
                <w:sz w:val="21"/>
                <w:szCs w:val="21"/>
              </w:rPr>
              <w:t xml:space="preserve">✅ </w:t>
            </w:r>
            <w:r>
              <w:rPr>
                <w:b/>
                <w:bCs/>
                <w:sz w:val="21"/>
                <w:szCs w:val="21"/>
              </w:rPr>
              <w:t xml:space="preserve">Responsabilité et imputabilité</w:t>
            </w:r>
            <w:r>
              <w:rPr>
                <w:sz w:val="21"/>
                <w:szCs w:val="21"/>
              </w:rPr>
              <w:t xml:space="preserve"> : journal horodaté, convention agent_type, agent_name et timestamp, plans scellés par empreinte vérifiable, dépôt Git.</w:t>
            </w:r>
          </w:p>
          <w:p>
            <w:pPr>
              <w:spacing w:after="100" w:line="276"/>
            </w:pPr>
            <w:r>
              <w:rPr>
                <w:sz w:val="21"/>
                <w:szCs w:val="21"/>
              </w:rPr>
              <w:t xml:space="preserve">✅ </w:t>
            </w:r>
            <w:r>
              <w:rPr>
                <w:b/>
                <w:bCs/>
                <w:sz w:val="21"/>
                <w:szCs w:val="21"/>
              </w:rPr>
              <w:t xml:space="preserve">Éthique et parties prenantes</w:t>
            </w:r>
            <w:r>
              <w:rPr>
                <w:sz w:val="21"/>
                <w:szCs w:val="21"/>
              </w:rPr>
              <w:t xml:space="preserve"> : consentements séparés et révocables, pseudonymisation, droit de retrait, licences des textes affichées, refus d'attribuer au robot des émotions vécues.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ROBO-SCÈNE 2026 — Le partenaire de théâtre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5C4813"/>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partenaire de théâtre ROBO-SCÈNE — guide</dc:title>
  <dc:creator>Sylvain Gagné</dc:creator>
  <cp:lastModifiedBy>Un-named</cp:lastModifiedBy>
  <cp:revision>1</cp:revision>
  <dcterms:created xsi:type="dcterms:W3CDTF">2026-10-10T22:27:20.136Z</dcterms:created>
  <dcterms:modified xsi:type="dcterms:W3CDTF">2026-10-10T22:27:20.136Z</dcterms:modified>
</cp:coreProperties>
</file>

<file path=docProps/custom.xml><?xml version="1.0" encoding="utf-8"?>
<Properties xmlns="http://schemas.openxmlformats.org/officeDocument/2006/custom-properties" xmlns:vt="http://schemas.openxmlformats.org/officeDocument/2006/docPropsVTypes"/>
</file>