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88"/>
        <w:jc w:val="left"/>
      </w:pPr>
      <w:r>
        <w:rPr>
          <w:rFonts w:ascii="Cambria" w:cs="Cambria" w:eastAsia="Cambria" w:hAnsi="Cambria"/>
          <w:b/>
          <w:bCs/>
          <w:color w:val="8A5A00"/>
          <w:sz w:val="20"/>
          <w:szCs w:val="20"/>
        </w:rPr>
        <w:t xml:space="preserve">ROBO-SCÈNE 2026 · PLATEFORME INTÉGRÉE · GOUVERNANCE ISO/IEC 42001</w:t>
      </w:r>
    </w:p>
    <w:p>
      <w:pPr>
        <w:pStyle w:val="Title"/>
        <w:spacing w:after="100"/>
      </w:pPr>
      <w:r>
        <w:rPr>
          <w:rFonts w:ascii="Cambria" w:cs="Cambria" w:eastAsia="Cambria" w:hAnsi="Cambria"/>
          <w:b/>
          <w:bCs/>
          <w:color w:val="1F2B3A"/>
          <w:sz w:val="38"/>
          <w:szCs w:val="38"/>
        </w:rPr>
        <w:t xml:space="preserve">Rapport de mise en œuvre de l'audit indépendant</w:t>
      </w:r>
    </w:p>
    <w:p>
      <w:pPr>
        <w:spacing w:after="240" w:line="288"/>
        <w:jc w:val="left"/>
      </w:pPr>
      <w:r>
        <w:rPr>
          <w:rFonts w:ascii="Cambria" w:cs="Cambria" w:eastAsia="Cambria" w:hAnsi="Cambria"/>
          <w:i/>
          <w:iCs/>
          <w:color w:val="5F6B7A"/>
          <w:sz w:val="24"/>
          <w:szCs w:val="24"/>
        </w:rPr>
        <w:t xml:space="preserve">Correctifs, vérifications et décisions résiduelles — plateforme ROBO-SCÈNE 2.3, dépôt Robo-Scène et journaux de la séance S04</w:t>
      </w:r>
    </w:p>
    <w:p>
      <w:pPr>
        <w:spacing w:after="60" w:line="288"/>
        <w:jc w:val="left"/>
      </w:pPr>
      <w:r>
        <w:rPr>
          <w:rFonts w:ascii="Cambria" w:cs="Cambria" w:eastAsia="Cambria" w:hAnsi="Cambria"/>
          <w:b/>
          <w:bCs/>
          <w:sz w:val="22"/>
          <w:szCs w:val="22"/>
        </w:rPr>
        <w:t xml:space="preserve">Responsable : </w:t>
      </w:r>
      <w:r>
        <w:rPr>
          <w:rFonts w:ascii="Cambria" w:cs="Cambria" w:eastAsia="Cambria" w:hAnsi="Cambria"/>
          <w:sz w:val="22"/>
          <w:szCs w:val="22"/>
        </w:rPr>
        <w:t xml:space="preserve">Sylvain Gagné, Ph. D., chercheur indépendant non affilié et autofinancé (IA, robotique et théâtre)</w:t>
      </w:r>
    </w:p>
    <w:p>
      <w:pPr>
        <w:spacing w:after="60" w:line="288"/>
        <w:jc w:val="left"/>
      </w:pPr>
      <w:r>
        <w:rPr>
          <w:rFonts w:ascii="Cambria" w:cs="Cambria" w:eastAsia="Cambria" w:hAnsi="Cambria"/>
          <w:b/>
          <w:bCs/>
          <w:sz w:val="22"/>
          <w:szCs w:val="22"/>
        </w:rPr>
        <w:t xml:space="preserve">Date : </w:t>
      </w:r>
      <w:r>
        <w:rPr>
          <w:rFonts w:ascii="Cambria" w:cs="Cambria" w:eastAsia="Cambria" w:hAnsi="Cambria"/>
          <w:sz w:val="22"/>
          <w:szCs w:val="22"/>
        </w:rPr>
        <w:t xml:space="preserve">16 octobre 2026 (travaux de 16 h 45 à 17 h 40, heure de l'Est)</w:t>
      </w:r>
    </w:p>
    <w:p>
      <w:pPr>
        <w:spacing w:after="60" w:line="288"/>
        <w:jc w:val="left"/>
      </w:pPr>
      <w:r>
        <w:rPr>
          <w:rFonts w:ascii="Cambria" w:cs="Cambria" w:eastAsia="Cambria" w:hAnsi="Cambria"/>
          <w:b/>
          <w:bCs/>
          <w:sz w:val="22"/>
          <w:szCs w:val="22"/>
        </w:rPr>
        <w:t xml:space="preserve">Document audité : </w:t>
      </w:r>
      <w:r>
        <w:rPr>
          <w:rFonts w:ascii="Cambria" w:cs="Cambria" w:eastAsia="Cambria" w:hAnsi="Cambria"/>
          <w:sz w:val="22"/>
          <w:szCs w:val="22"/>
        </w:rPr>
        <w:t xml:space="preserve">« audit par Argon » (03_Console_et_plateforme), versé le 16 octobre 2026</w:t>
      </w:r>
    </w:p>
    <w:p>
      <w:pPr>
        <w:spacing w:after="200" w:line="288"/>
        <w:jc w:val="left"/>
      </w:pPr>
      <w:r>
        <w:rPr>
          <w:rFonts w:ascii="Cambria" w:cs="Cambria" w:eastAsia="Cambria" w:hAnsi="Cambria"/>
          <w:b/>
          <w:bCs/>
          <w:sz w:val="22"/>
          <w:szCs w:val="22"/>
        </w:rPr>
        <w:t xml:space="preserve">Exécution : </w:t>
      </w:r>
      <w:r>
        <w:rPr>
          <w:rFonts w:ascii="Cambria" w:cs="Cambria" w:eastAsia="Cambria" w:hAnsi="Cambria"/>
          <w:sz w:val="22"/>
          <w:szCs w:val="22"/>
        </w:rPr>
        <w:t xml:space="preserve">assistant IA (Claude), sur instruction du responsable ; dépôt ~/Documents/GitHub/Robo-Scene, branche main, commits efe7f34 à ddb8fe9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8C2CF" w:sz="4"/>
              <w:left w:val="single" w:color="B8C2CF" w:sz="4"/>
              <w:bottom w:val="single" w:color="B8C2CF" w:sz="4"/>
              <w:right w:val="single" w:color="B8C2CF" w:sz="4"/>
            </w:tcBorders>
            <w:shd w:fill="EEF2F7" w:color="auto" w:val="clear"/>
            <w:tcMar>
              <w:top w:type="dxa" w:w="140"/>
              <w:left w:type="dxa" w:w="180"/>
              <w:bottom w:type="dxa" w:w="140"/>
              <w:right w:type="dxa" w:w="180"/>
            </w:tcMar>
          </w:tcPr>
          <w:p>
            <w:pPr>
              <w:spacing w:after="100"/>
            </w:pPr>
            <w:r>
              <w:rPr>
                <w:rFonts w:ascii="Cambria" w:cs="Cambria" w:eastAsia="Cambria" w:hAnsi="Cambria"/>
                <w:b/>
                <w:bCs/>
                <w:color w:val="8A5A00"/>
                <w:sz w:val="23"/>
                <w:szCs w:val="23"/>
              </w:rPr>
              <w:t xml:space="preserve">Synthèse</w:t>
            </w:r>
          </w:p>
          <w:p>
            <w:pPr>
              <w:spacing w:after="80" w:line="288"/>
              <w:jc w:val="both"/>
            </w:pPr>
            <w:r>
              <w:rPr>
                <w:rFonts w:ascii="Cambria" w:cs="Cambria" w:eastAsia="Cambria" w:hAnsi="Cambria"/>
                <w:sz w:val="22"/>
                <w:szCs w:val="22"/>
              </w:rPr>
              <w:t xml:space="preserve">Les six chantiers de l'audit ont été exécutés et vérifiés, à une exception près, qui relève d'une autorisation et non d'une difficulté technique : le déploiement de l'interface sur Netlify (B-002), que le contrôle de permissions de la session a suspendu et qui attend votre accord explicite. Le dépôt GitHub est désormais public, après retrait de tout l'historique des documents de travail et des index qui en sont tirés ; les 179 tests réussissent sur le poste de l'équipe et l'intégration continue de GitHub est verte.</w:t>
            </w:r>
          </w:p>
          <w:p>
            <w:pPr>
              <w:spacing w:after="0" w:line="288"/>
              <w:jc w:val="both"/>
            </w:pPr>
            <w:r>
              <w:rPr>
                <w:rFonts w:ascii="Cambria" w:cs="Cambria" w:eastAsia="Cambria" w:hAnsi="Cambria"/>
                <w:sz w:val="22"/>
                <w:szCs w:val="22"/>
              </w:rPr>
              <w:t xml:space="preserve">Il semble utile de souligner que la vérification n'a pas seulement confirmé l'audit : elle en a infirmé deux constats (la navigation « tronquée » et les « erreurs d'accès » de Netlify, issus d'une lecture du HTML sans exécution du JavaScript), en a nuancé un troisième (le refus des modèles « :cloud » existait déjà) et a mis au jour trois défauts qu'il ne mentionnait pas : l'affiliation inscrite dans sept fichiers de code, des compteurs de séance écrits sur disque à la seule clôture, et le refus des noms de séquence accentués saisis en forme Unicode décomposée.</w:t>
            </w:r>
          </w:p>
        </w:tc>
      </w:tr>
    </w:tbl>
    <w:p>
      <w:pPr>
        <w:spacing w:after="120"/>
      </w:pPr>
    </w:p>
    <w:p>
      <w:pPr>
        <w:pStyle w:val="Heading1"/>
        <w:keepNext/>
        <w:spacing w:after="120" w:before="280"/>
      </w:pPr>
      <w:r>
        <w:rPr>
          <w:rFonts w:ascii="Cambria" w:cs="Cambria" w:eastAsia="Cambria" w:hAnsi="Cambria"/>
          <w:b/>
          <w:bCs/>
          <w:color w:val="1F2B3A"/>
          <w:sz w:val="28"/>
          <w:szCs w:val="28"/>
        </w:rPr>
        <w:t xml:space="preserve">1. Mandat et méthode</w:t>
      </w:r>
    </w:p>
    <w:p>
      <w:pPr>
        <w:spacing w:after="120" w:line="288"/>
        <w:jc w:val="both"/>
      </w:pPr>
      <w:r>
        <w:rPr>
          <w:rFonts w:ascii="Cambria" w:cs="Cambria" w:eastAsia="Cambria" w:hAnsi="Cambria"/>
          <w:sz w:val="22"/>
          <w:szCs w:val="22"/>
        </w:rPr>
        <w:t xml:space="preserve">La consigne, « mettre en œuvre les résultats de l'audit indépendant », portait sur les six chantiers de sa section 4 et sur les trois autorisations demandées en section 5 ; une seconde consigne, reçue en cours de travail, demandait de rendre public le dossier GitHub. Parce qu'une publication ne se rétracte pas une fois le dépôt cloné, cette seconde décision a été précédée d'un inventaire de ce que l'historique exposerait, puis soumise à votre choix entre trois options ; vous avez retenu « nettoyer, puis public ».</w:t>
      </w:r>
    </w:p>
    <w:p>
      <w:pPr>
        <w:spacing w:after="120" w:line="288"/>
        <w:jc w:val="both"/>
      </w:pPr>
      <w:r>
        <w:rPr>
          <w:rFonts w:ascii="Cambria" w:cs="Cambria" w:eastAsia="Cambria" w:hAnsi="Cambria"/>
          <w:sz w:val="22"/>
          <w:szCs w:val="22"/>
        </w:rPr>
        <w:t xml:space="preserve">La méthode a suivi trois passes. La première a localisé l'état réel du code : la copie de travail du dossier Cowork était restée à la version 2.0, la version 2.1 se trouvait dans le clone GitHub de ~/Documents/GitHub, et la version 2.2 du robot virtuel n'existait que sous forme de correctif (robot-22.patch). La deuxième a confronté chaque constat de l'audit au code, aux données et au site en production. La troisième a exécuté les correctifs, chacun accompagné d'un test automatisé et d'un commit commenté, sur une branche de travail fusionnée seulement après la suite complète.</w:t>
      </w:r>
    </w:p>
    <w:p>
      <w:pPr>
        <w:pStyle w:val="Heading1"/>
        <w:keepNext/>
        <w:spacing w:after="120" w:before="280"/>
      </w:pPr>
      <w:r>
        <w:rPr>
          <w:rFonts w:ascii="Cambria" w:cs="Cambria" w:eastAsia="Cambria" w:hAnsi="Cambria"/>
          <w:b/>
          <w:bCs/>
          <w:color w:val="1F2B3A"/>
          <w:sz w:val="28"/>
          <w:szCs w:val="28"/>
        </w:rPr>
        <w:t xml:space="preserve">2. Tableau de suivi des chantiers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3120"/>
        <w:gridCol w:w="1352"/>
        <w:gridCol w:w="1144"/>
        <w:gridCol w:w="2808"/>
      </w:tblGrid>
      <w:tr>
        <w:trPr>
          <w:cantSplit/>
          <w:tblHeader/>
        </w:trPr>
        <w:tc>
          <w:tcPr>
            <w:tcW w:type="dxa" w:w="936"/>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ID</w:t>
            </w:r>
          </w:p>
        </w:tc>
        <w:tc>
          <w:tcPr>
            <w:tcW w:type="dxa" w:w="312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Chantier</w:t>
            </w:r>
          </w:p>
        </w:tc>
        <w:tc>
          <w:tcPr>
            <w:tcW w:type="dxa" w:w="135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Statut</w:t>
            </w:r>
          </w:p>
        </w:tc>
        <w:tc>
          <w:tcPr>
            <w:tcW w:type="dxa" w:w="1144"/>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Commit</w:t>
            </w:r>
          </w:p>
        </w:tc>
        <w:tc>
          <w:tcPr>
            <w:tcW w:type="dxa" w:w="2808"/>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Vérification</w:t>
            </w:r>
          </w:p>
        </w:tc>
      </w:tr>
      <w:tr>
        <w:trPr>
          <w:cantSplit/>
          <w:tblHeader w:val="false"/>
        </w:trPr>
        <w:tc>
          <w:tcPr>
            <w:tcW w:type="dxa" w:w="9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w:t>
            </w:r>
          </w:p>
        </w:tc>
        <w:tc>
          <w:tcPr>
            <w:tcW w:type="dxa" w:w="31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Intégration du robot virtuel 2.2 (robot-22.patch)</w:t>
            </w:r>
          </w:p>
        </w:tc>
        <w:tc>
          <w:tcPr>
            <w:tcW w:type="dxa" w:w="135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Terminé</w:t>
            </w:r>
          </w:p>
        </w:tc>
        <w:tc>
          <w:tcPr>
            <w:tcW w:type="dxa" w:w="11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b12af15</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Correctif appliqué sans conflit ; 163 tests</w:t>
            </w:r>
          </w:p>
        </w:tc>
      </w:tr>
      <w:tr>
        <w:trPr>
          <w:cantSplit/>
          <w:tblHeader w:val="false"/>
        </w:trPr>
        <w:tc>
          <w:tcPr>
            <w:tcW w:type="dxa" w:w="9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A-009 / A-010</w:t>
            </w:r>
          </w:p>
        </w:tc>
        <w:tc>
          <w:tcPr>
            <w:tcW w:type="dxa" w:w="31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Modèle local SI-02 désigné ; blocage cloud et remote (VP-14)</w:t>
            </w:r>
          </w:p>
        </w:tc>
        <w:tc>
          <w:tcPr>
            <w:tcW w:type="dxa" w:w="135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Terminé</w:t>
            </w:r>
          </w:p>
        </w:tc>
        <w:tc>
          <w:tcPr>
            <w:tcW w:type="dxa" w:w="11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efe7f34</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10 tests ; chiffres SI-02 contrôlés</w:t>
            </w:r>
          </w:p>
        </w:tc>
      </w:tr>
      <w:tr>
        <w:trPr>
          <w:cantSplit/>
          <w:tblHeader w:val="false"/>
        </w:trPr>
        <w:tc>
          <w:tcPr>
            <w:tcW w:type="dxa" w:w="9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A-07</w:t>
            </w:r>
          </w:p>
        </w:tc>
        <w:tc>
          <w:tcPr>
            <w:tcW w:type="dxa" w:w="31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Grille de repérage des biais versionnée</w:t>
            </w:r>
          </w:p>
        </w:tc>
        <w:tc>
          <w:tcPr>
            <w:tcW w:type="dxa" w:w="135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Terminé</w:t>
            </w:r>
          </w:p>
        </w:tc>
        <w:tc>
          <w:tcPr>
            <w:tcW w:type="dxa" w:w="11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12ca8d3</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Test réactivé, réussi</w:t>
            </w:r>
          </w:p>
        </w:tc>
      </w:tr>
      <w:tr>
        <w:trPr>
          <w:cantSplit/>
          <w:tblHeader w:val="false"/>
        </w:trPr>
        <w:tc>
          <w:tcPr>
            <w:tcW w:type="dxa" w:w="9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Ch. 5</w:t>
            </w:r>
          </w:p>
        </w:tc>
        <w:tc>
          <w:tcPr>
            <w:tcW w:type="dxa" w:w="31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Robot virtuel 2.3 : ancrage plantaire, visèmes, débit syllabique</w:t>
            </w:r>
          </w:p>
        </w:tc>
        <w:tc>
          <w:tcPr>
            <w:tcW w:type="dxa" w:w="135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Terminé</w:t>
            </w:r>
          </w:p>
        </w:tc>
        <w:tc>
          <w:tcPr>
            <w:tcW w:type="dxa" w:w="11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1a32e55</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11 poses mesurées ; rendu 3D contrôlé</w:t>
            </w:r>
          </w:p>
        </w:tc>
      </w:tr>
      <w:tr>
        <w:trPr>
          <w:cantSplit/>
          <w:tblHeader w:val="false"/>
        </w:trPr>
        <w:tc>
          <w:tcPr>
            <w:tcW w:type="dxa" w:w="9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Ch. 3</w:t>
            </w:r>
          </w:p>
        </w:tc>
        <w:tc>
          <w:tcPr>
            <w:tcW w:type="dxa" w:w="31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Console : simulation, routes Netlify, en-têtes</w:t>
            </w:r>
          </w:p>
        </w:tc>
        <w:tc>
          <w:tcPr>
            <w:tcW w:type="dxa" w:w="135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Terminé</w:t>
            </w:r>
          </w:p>
        </w:tc>
        <w:tc>
          <w:tcPr>
            <w:tcW w:type="dxa" w:w="11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3228a80</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Essai en navigateur ; test Node.js</w:t>
            </w:r>
          </w:p>
        </w:tc>
      </w:tr>
      <w:tr>
        <w:trPr>
          <w:cantSplit/>
          <w:tblHeader w:val="false"/>
        </w:trPr>
        <w:tc>
          <w:tcPr>
            <w:tcW w:type="dxa" w:w="9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B-001</w:t>
            </w:r>
          </w:p>
        </w:tc>
        <w:tc>
          <w:tcPr>
            <w:tcW w:type="dxa" w:w="31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Affiliation retirée du guide et du code</w:t>
            </w:r>
          </w:p>
        </w:tc>
        <w:tc>
          <w:tcPr>
            <w:tcW w:type="dxa" w:w="135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Terminé</w:t>
            </w:r>
          </w:p>
        </w:tc>
        <w:tc>
          <w:tcPr>
            <w:tcW w:type="dxa" w:w="11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00d3eb3</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Test de non-régression</w:t>
            </w:r>
          </w:p>
        </w:tc>
      </w:tr>
      <w:tr>
        <w:trPr>
          <w:cantSplit/>
          <w:tblHeader w:val="false"/>
        </w:trPr>
        <w:tc>
          <w:tcPr>
            <w:tcW w:type="dxa" w:w="9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w:t>
            </w:r>
          </w:p>
        </w:tc>
        <w:tc>
          <w:tcPr>
            <w:tcW w:type="dxa" w:w="31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Dépôt public, historique purgé</w:t>
            </w:r>
          </w:p>
        </w:tc>
        <w:tc>
          <w:tcPr>
            <w:tcW w:type="dxa" w:w="135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Terminé</w:t>
            </w:r>
          </w:p>
        </w:tc>
        <w:tc>
          <w:tcPr>
            <w:tcW w:type="dxa" w:w="11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60c4661</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Clone neuf ; balayage de l'historique</w:t>
            </w:r>
          </w:p>
        </w:tc>
      </w:tr>
      <w:tr>
        <w:trPr>
          <w:cantSplit/>
          <w:tblHeader w:val="false"/>
        </w:trPr>
        <w:tc>
          <w:tcPr>
            <w:tcW w:type="dxa" w:w="9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B-010</w:t>
            </w:r>
          </w:p>
        </w:tc>
        <w:tc>
          <w:tcPr>
            <w:tcW w:type="dxa" w:w="31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Clôture et scellement des journaux S04</w:t>
            </w:r>
          </w:p>
        </w:tc>
        <w:tc>
          <w:tcPr>
            <w:tcW w:type="dxa" w:w="135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Terminé*</w:t>
            </w:r>
          </w:p>
        </w:tc>
        <w:tc>
          <w:tcPr>
            <w:tcW w:type="dxa" w:w="11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d55dc08</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Sceaux SHA-256 ; procès-verbal</w:t>
            </w:r>
          </w:p>
        </w:tc>
      </w:tr>
      <w:tr>
        <w:trPr>
          <w:cantSplit/>
          <w:tblHeader w:val="false"/>
        </w:trPr>
        <w:tc>
          <w:tcPr>
            <w:tcW w:type="dxa" w:w="9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w:t>
            </w:r>
          </w:p>
        </w:tc>
        <w:tc>
          <w:tcPr>
            <w:tcW w:type="dxa" w:w="31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Noms de séquence accentués (NFD)</w:t>
            </w:r>
          </w:p>
        </w:tc>
        <w:tc>
          <w:tcPr>
            <w:tcW w:type="dxa" w:w="135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Terminé</w:t>
            </w:r>
          </w:p>
        </w:tc>
        <w:tc>
          <w:tcPr>
            <w:tcW w:type="dxa" w:w="11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ddb8fe9</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Test ; cause du refus de S04_001</w:t>
            </w:r>
          </w:p>
        </w:tc>
      </w:tr>
      <w:tr>
        <w:trPr>
          <w:cantSplit/>
          <w:tblHeader w:val="false"/>
        </w:trPr>
        <w:tc>
          <w:tcPr>
            <w:tcW w:type="dxa" w:w="9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B-002</w:t>
            </w:r>
          </w:p>
        </w:tc>
        <w:tc>
          <w:tcPr>
            <w:tcW w:type="dxa" w:w="31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Déploiement Netlify de la version 2.3</w:t>
            </w:r>
          </w:p>
        </w:tc>
        <w:tc>
          <w:tcPr>
            <w:tcW w:type="dxa" w:w="135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En attente</w:t>
            </w:r>
          </w:p>
        </w:tc>
        <w:tc>
          <w:tcPr>
            <w:tcW w:type="dxa" w:w="11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Votre autorisation requise</w:t>
            </w:r>
          </w:p>
        </w:tc>
      </w:tr>
    </w:tbl>
    <w:p>
      <w:pPr>
        <w:spacing w:after="160" w:line="288"/>
        <w:jc w:val="both"/>
      </w:pPr>
      <w:r>
        <w:rPr>
          <w:rFonts w:ascii="Cambria" w:cs="Cambria" w:eastAsia="Cambria" w:hAnsi="Cambria"/>
          <w:color w:val="5F6B7A"/>
          <w:sz w:val="19"/>
          <w:szCs w:val="19"/>
        </w:rPr>
        <w:t xml:space="preserve">* Procès-verbal à signer et notes observationnelles à compléter par le chercheur.</w:t>
      </w:r>
    </w:p>
    <w:p>
      <w:pPr>
        <w:pStyle w:val="Heading1"/>
        <w:keepNext/>
        <w:spacing w:after="120" w:before="280"/>
      </w:pPr>
      <w:r>
        <w:rPr>
          <w:rFonts w:ascii="Cambria" w:cs="Cambria" w:eastAsia="Cambria" w:hAnsi="Cambria"/>
          <w:b/>
          <w:bCs/>
          <w:color w:val="1F2B3A"/>
          <w:sz w:val="28"/>
          <w:szCs w:val="28"/>
        </w:rPr>
        <w:t xml:space="preserve">3. Constats de l'audit : confirmés, infirmés, complétés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36"/>
        <w:gridCol w:w="1352"/>
        <w:gridCol w:w="4472"/>
      </w:tblGrid>
      <w:tr>
        <w:trPr>
          <w:cantSplit/>
          <w:tblHeader/>
        </w:trPr>
        <w:tc>
          <w:tcPr>
            <w:tcW w:type="dxa" w:w="3536"/>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Constat de l'audit</w:t>
            </w:r>
          </w:p>
        </w:tc>
        <w:tc>
          <w:tcPr>
            <w:tcW w:type="dxa" w:w="135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Verdict</w:t>
            </w:r>
          </w:p>
        </w:tc>
        <w:tc>
          <w:tcPr>
            <w:tcW w:type="dxa" w:w="447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Établi par</w:t>
            </w:r>
          </w:p>
        </w:tc>
      </w:tr>
      <w:tr>
        <w:trPr>
          <w:cantSplit/>
          <w:tblHeader w:val="false"/>
        </w:trPr>
        <w:tc>
          <w:tcPr>
            <w:tcW w:type="dxa" w:w="35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Navigation de Netlify tronquée à deux pages</w:t>
            </w:r>
          </w:p>
        </w:tc>
        <w:tc>
          <w:tcPr>
            <w:tcW w:type="dxa" w:w="135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Infirmé</w:t>
            </w:r>
          </w:p>
        </w:tc>
        <w:tc>
          <w:tcPr>
            <w:tcW w:type="dxa" w:w="44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La barre de onze liens est construite par i18n.js à l'exécution ; l'audit a lu le HTML statique</w:t>
            </w:r>
          </w:p>
        </w:tc>
      </w:tr>
      <w:tr>
        <w:trPr>
          <w:cantSplit/>
          <w:tblHeader w:val="false"/>
        </w:trPr>
        <w:tc>
          <w:tcPr>
            <w:tcW w:type="dxa" w:w="35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Erreurs d'accès direct aux sous-pages</w:t>
            </w:r>
          </w:p>
        </w:tc>
        <w:tc>
          <w:tcPr>
            <w:tcW w:type="dxa" w:w="135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Infirmé</w:t>
            </w:r>
          </w:p>
        </w:tc>
        <w:tc>
          <w:tcPr>
            <w:tcW w:type="dxa" w:w="44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Les onze adresses répondaient 200 le 16 oct. ; routes désormais explicites</w:t>
            </w:r>
          </w:p>
        </w:tc>
      </w:tr>
      <w:tr>
        <w:trPr>
          <w:cantSplit/>
          <w:tblHeader w:val="false"/>
        </w:trPr>
        <w:tc>
          <w:tcPr>
            <w:tcW w:type="dxa" w:w="35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Build Netlify antérieur à la v2.2</w:t>
            </w:r>
          </w:p>
        </w:tc>
        <w:tc>
          <w:tcPr>
            <w:tcW w:type="dxa" w:w="135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Confirmé</w:t>
            </w:r>
          </w:p>
        </w:tc>
        <w:tc>
          <w:tcPr>
            <w:tcW w:type="dxa" w:w="44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Dernier déploiement par téléversement le 16 oct., 02 h 56 UTC (v2.1)</w:t>
            </w:r>
          </w:p>
        </w:tc>
      </w:tr>
      <w:tr>
        <w:trPr>
          <w:cantSplit/>
          <w:tblHeader w:val="false"/>
        </w:trPr>
        <w:tc>
          <w:tcPr>
            <w:tcW w:type="dxa" w:w="35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Affiliation dans le guide v2.0</w:t>
            </w:r>
          </w:p>
        </w:tc>
        <w:tc>
          <w:tcPr>
            <w:tcW w:type="dxa" w:w="135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Confirmé et étendu</w:t>
            </w:r>
          </w:p>
        </w:tc>
        <w:tc>
          <w:tcPr>
            <w:tcW w:type="dxa" w:w="44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Présente aussi dans 7 fichiers de code et dans l'historique</w:t>
            </w:r>
          </w:p>
        </w:tc>
      </w:tr>
      <w:tr>
        <w:trPr>
          <w:cantSplit/>
          <w:tblHeader w:val="false"/>
        </w:trPr>
        <w:tc>
          <w:tcPr>
            <w:tcW w:type="dxa" w:w="35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Journaux S04 non clos</w:t>
            </w:r>
          </w:p>
        </w:tc>
        <w:tc>
          <w:tcPr>
            <w:tcW w:type="dxa" w:w="135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Confirmé et étendu</w:t>
            </w:r>
          </w:p>
        </w:tc>
        <w:tc>
          <w:tcPr>
            <w:tcW w:type="dxa" w:w="44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Compteurs périmés : 0 déclaré pour 31 commandes et 2 arrêts d'urgence</w:t>
            </w:r>
          </w:p>
        </w:tc>
      </w:tr>
      <w:tr>
        <w:trPr>
          <w:cantSplit/>
          <w:tblHeader w:val="false"/>
        </w:trPr>
        <w:tc>
          <w:tcPr>
            <w:tcW w:type="dxa" w:w="35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Modèle gemma4:12b provisoire</w:t>
            </w:r>
          </w:p>
        </w:tc>
        <w:tc>
          <w:tcPr>
            <w:tcW w:type="dxa" w:w="135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Confirmé</w:t>
            </w:r>
          </w:p>
        </w:tc>
        <w:tc>
          <w:tcPr>
            <w:tcW w:type="dxa" w:w="44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config.toml ; synthèse SI-02 du 12 oct. (n = 131)</w:t>
            </w:r>
          </w:p>
        </w:tc>
      </w:tr>
      <w:tr>
        <w:trPr>
          <w:cantSplit/>
          <w:tblHeader w:val="false"/>
        </w:trPr>
        <w:tc>
          <w:tcPr>
            <w:tcW w:type="dxa" w:w="35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Fuite possible par les modèles :cloud</w:t>
            </w:r>
          </w:p>
        </w:tc>
        <w:tc>
          <w:tcPr>
            <w:tcW w:type="dxa" w:w="135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Nuancé</w:t>
            </w:r>
          </w:p>
        </w:tc>
        <w:tc>
          <w:tcPr>
            <w:tcW w:type="dxa" w:w="44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verifier_local refusait déjà « cloud » ; ajout de « remote » et des entrées remote_*</w:t>
            </w:r>
          </w:p>
        </w:tc>
      </w:tr>
      <w:tr>
        <w:trPr>
          <w:cantSplit/>
          <w:tblHeader w:val="false"/>
        </w:trPr>
        <w:tc>
          <w:tcPr>
            <w:tcW w:type="dxa" w:w="35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Test ignoré faute du classeur A-07</w:t>
            </w:r>
          </w:p>
        </w:tc>
        <w:tc>
          <w:tcPr>
            <w:tcW w:type="dxa" w:w="135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Confirmé</w:t>
            </w:r>
          </w:p>
        </w:tc>
        <w:tc>
          <w:tcPr>
            <w:tcW w:type="dxa" w:w="44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Le classeur existait dans le module 08 ; chemin du test corrigé</w:t>
            </w:r>
          </w:p>
        </w:tc>
      </w:tr>
      <w:tr>
        <w:trPr>
          <w:cantSplit/>
          <w:tblHeader w:val="false"/>
        </w:trPr>
        <w:tc>
          <w:tcPr>
            <w:tcW w:type="dxa" w:w="35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Absence de mode hors pont</w:t>
            </w:r>
          </w:p>
        </w:tc>
        <w:tc>
          <w:tcPr>
            <w:tcW w:type="dxa" w:w="135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Confirmé</w:t>
            </w:r>
          </w:p>
        </w:tc>
        <w:tc>
          <w:tcPr>
            <w:tcW w:type="dxa" w:w="44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Un bandeau existait, sans simulation ; simulateur ajouté</w:t>
            </w:r>
          </w:p>
        </w:tc>
      </w:tr>
    </w:tbl>
    <w:p>
      <w:pPr>
        <w:spacing w:after="120"/>
      </w:pPr>
    </w:p>
    <w:p>
      <w:pPr>
        <w:pStyle w:val="Heading1"/>
        <w:keepNext/>
        <w:spacing w:after="120" w:before="280"/>
      </w:pPr>
      <w:r>
        <w:rPr>
          <w:rFonts w:ascii="Cambria" w:cs="Cambria" w:eastAsia="Cambria" w:hAnsi="Cambria"/>
          <w:b/>
          <w:bCs/>
          <w:color w:val="1F2B3A"/>
          <w:sz w:val="28"/>
          <w:szCs w:val="28"/>
        </w:rPr>
        <w:t xml:space="preserve">4. Détail des chantiers</w:t>
      </w:r>
    </w:p>
    <w:p>
      <w:pPr>
        <w:pStyle w:val="Heading2"/>
        <w:keepNext/>
        <w:spacing w:after="120" w:before="280"/>
      </w:pPr>
      <w:r>
        <w:rPr>
          <w:rFonts w:ascii="Cambria" w:cs="Cambria" w:eastAsia="Cambria" w:hAnsi="Cambria"/>
          <w:b/>
          <w:bCs/>
          <w:color w:val="1F2B3A"/>
          <w:sz w:val="24"/>
          <w:szCs w:val="24"/>
        </w:rPr>
        <w:t xml:space="preserve">4.1 Modèle local SI-02 et confinement local (A-009, A-010)</w:t>
      </w:r>
    </w:p>
    <w:p>
      <w:pPr>
        <w:spacing w:after="120" w:line="288"/>
        <w:jc w:val="both"/>
      </w:pPr>
      <w:r>
        <w:rPr>
          <w:rFonts w:ascii="Cambria" w:cs="Cambria" w:eastAsia="Cambria" w:hAnsi="Cambria"/>
          <w:sz w:val="22"/>
          <w:szCs w:val="22"/>
        </w:rPr>
        <w:t xml:space="preserve">La désignation repose sur le classeur SI-02_synthese_2026-10-12, dont les valeurs ont été relues avant toute modification : Luciole-8B-Instruct-1.1 obtient 4,18/5 en français, 3,88/5 en jouabilité, un stéréotype moyen de 0,09 sans aucune cote de niveau 2 et 100 % de JSON valide, pour une latence de 3,5 s ; Apertus-8B-Instruct-2509, plus rapide (2,1 s), présente un stéréotype moyen de 0,26 et deux cotes de niveau 2. Le premier devient le modèle principal, le second un secours employé seulement si le principal manque dans Ollama, et toujours local.</w:t>
      </w:r>
    </w:p>
    <w:p>
      <w:pPr>
        <w:pStyle w:val="ListParagraph"/>
        <w:numPr>
          <w:ilvl w:val="0"/>
          <w:numId w:val="2"/>
        </w:numPr>
        <w:spacing w:after="80" w:line="288"/>
        <w:jc w:val="both"/>
      </w:pPr>
      <w:r>
        <w:rPr>
          <w:rFonts w:ascii="Cambria" w:cs="Cambria" w:eastAsia="Cambria" w:hAnsi="Cambria"/>
          <w:b/>
          <w:bCs/>
          <w:sz w:val="22"/>
          <w:szCs w:val="22"/>
        </w:rPr>
        <w:t xml:space="preserve">Configuration : </w:t>
      </w:r>
      <w:r>
        <w:rPr>
          <w:rFonts w:ascii="Cambria" w:cs="Cambria" w:eastAsia="Cambria" w:hAnsi="Cambria"/>
          <w:sz w:val="22"/>
          <w:szCs w:val="22"/>
        </w:rPr>
        <w:t xml:space="preserve">local, local_secours et local_provisoire = false dans config.toml ; registre G.5 mis à jour.</w:t>
      </w:r>
    </w:p>
    <w:p>
      <w:pPr>
        <w:pStyle w:val="ListParagraph"/>
        <w:numPr>
          <w:ilvl w:val="0"/>
          <w:numId w:val="2"/>
        </w:numPr>
        <w:spacing w:after="80" w:line="288"/>
        <w:jc w:val="both"/>
      </w:pPr>
      <w:r>
        <w:rPr>
          <w:rFonts w:ascii="Cambria" w:cs="Cambria" w:eastAsia="Cambria" w:hAnsi="Cambria"/>
          <w:b/>
          <w:bCs/>
          <w:sz w:val="22"/>
          <w:szCs w:val="22"/>
        </w:rPr>
        <w:t xml:space="preserve">Confinement : </w:t>
      </w:r>
      <w:r>
        <w:rPr>
          <w:rFonts w:ascii="Cambria" w:cs="Cambria" w:eastAsia="Cambria" w:hAnsi="Cambria"/>
          <w:sz w:val="22"/>
          <w:szCs w:val="22"/>
        </w:rPr>
        <w:t xml:space="preserve">toute étiquette contenant « cloud » ou « remote » est refusée, de même qu'une entrée de /api/tags qui annonce un hôte distant ; les noms sont comparés sans égard à la casse, Ollama affichant parfois « :Q4_K_M ».</w:t>
      </w:r>
    </w:p>
    <w:p>
      <w:pPr>
        <w:spacing w:after="120" w:line="288"/>
        <w:jc w:val="both"/>
      </w:pPr>
      <w:r>
        <w:rPr>
          <w:rFonts w:ascii="Cambria" w:cs="Cambria" w:eastAsia="Cambria" w:hAnsi="Cambria"/>
          <w:i/>
          <w:iCs/>
          <w:sz w:val="22"/>
          <w:szCs w:val="22"/>
        </w:rPr>
        <w:t xml:space="preserve">(Inférence) </w:t>
      </w:r>
      <w:r>
        <w:rPr>
          <w:rFonts w:ascii="Cambria" w:cs="Cambria" w:eastAsia="Cambria" w:hAnsi="Cambria"/>
          <w:sz w:val="22"/>
          <w:szCs w:val="22"/>
        </w:rPr>
        <w:t xml:space="preserve">Le choix d'Apertus comme secours, retenu par l'audit pour sa latence, mérite d'être réexaminé si le secours sert souvent, puisque Mistral-Small-3.2, plus lent, stéréotypait moins.</w:t>
      </w:r>
    </w:p>
    <w:p>
      <w:pPr>
        <w:pStyle w:val="Heading2"/>
        <w:keepNext/>
        <w:spacing w:after="120" w:before="280"/>
      </w:pPr>
      <w:r>
        <w:rPr>
          <w:rFonts w:ascii="Cambria" w:cs="Cambria" w:eastAsia="Cambria" w:hAnsi="Cambria"/>
          <w:b/>
          <w:bCs/>
          <w:color w:val="1F2B3A"/>
          <w:sz w:val="24"/>
          <w:szCs w:val="24"/>
        </w:rPr>
        <w:t xml:space="preserve">4.2 Robot virtuel 2.3</w:t>
      </w:r>
    </w:p>
    <w:p>
      <w:pPr>
        <w:pStyle w:val="ListParagraph"/>
        <w:numPr>
          <w:ilvl w:val="0"/>
          <w:numId w:val="2"/>
        </w:numPr>
        <w:spacing w:after="80" w:line="288"/>
        <w:jc w:val="both"/>
      </w:pPr>
      <w:r>
        <w:rPr>
          <w:rFonts w:ascii="Cambria" w:cs="Cambria" w:eastAsia="Cambria" w:hAnsi="Cambria"/>
          <w:b/>
          <w:bCs/>
          <w:sz w:val="22"/>
          <w:szCs w:val="22"/>
        </w:rPr>
        <w:t xml:space="preserve">Ancrage plantaire : </w:t>
      </w:r>
      <w:r>
        <w:rPr>
          <w:rFonts w:ascii="Cambria" w:cs="Cambria" w:eastAsia="Cambria" w:hAnsi="Cambria"/>
          <w:sz w:val="22"/>
          <w:szCs w:val="22"/>
        </w:rPr>
        <w:t xml:space="preserve">après les ressorts, une jambe enfoncée reçoit une flexion résiduelle calculée par cinématique inverse à deux segments, le bassin est recalé sur le pied ou la rotule la plus basse, et la semelle d'appui est mise à plat hors marche ; saut, demi-pointes et tabouret sont exclus. Mesure sur les onze poses : aucun pied ne flotte ni ne s'enfonce au-delà de 6 mm, alors que « à genoux » enfonçait les pieds de 8 cm et « effondré » de 15 cm.</w:t>
      </w:r>
    </w:p>
    <w:p>
      <w:pPr>
        <w:pStyle w:val="ListParagraph"/>
        <w:numPr>
          <w:ilvl w:val="0"/>
          <w:numId w:val="2"/>
        </w:numPr>
        <w:spacing w:after="80" w:line="288"/>
        <w:jc w:val="both"/>
      </w:pPr>
      <w:r>
        <w:rPr>
          <w:rFonts w:ascii="Cambria" w:cs="Cambria" w:eastAsia="Cambria" w:hAnsi="Cambria"/>
          <w:b/>
          <w:bCs/>
          <w:sz w:val="22"/>
          <w:szCs w:val="22"/>
        </w:rPr>
        <w:t xml:space="preserve">Visèmes : </w:t>
      </w:r>
      <w:r>
        <w:rPr>
          <w:rFonts w:ascii="Cambria" w:cs="Cambria" w:eastAsia="Cambria" w:hAnsi="Cambria"/>
          <w:sz w:val="22"/>
          <w:szCs w:val="22"/>
        </w:rPr>
        <w:t xml:space="preserve">l'ancienne table testait « o » avant « ou » et « on », qui n'étaient donc jamais reconnus ; le module phonetique.js traite désormais digrammes et trigrammes, voyelles nasales, lettres finales muettes, « -ent » verbal après « ils » ou « elles », h muet et liaisons usuelles.</w:t>
      </w:r>
    </w:p>
    <w:p>
      <w:pPr>
        <w:pStyle w:val="ListParagraph"/>
        <w:numPr>
          <w:ilvl w:val="0"/>
          <w:numId w:val="2"/>
        </w:numPr>
        <w:spacing w:after="80" w:line="288"/>
        <w:jc w:val="both"/>
      </w:pPr>
      <w:r>
        <w:rPr>
          <w:rFonts w:ascii="Cambria" w:cs="Cambria" w:eastAsia="Cambria" w:hAnsi="Cambria"/>
          <w:b/>
          <w:bCs/>
          <w:sz w:val="22"/>
          <w:szCs w:val="22"/>
        </w:rPr>
        <w:t xml:space="preserve">Débit syllabique : </w:t>
      </w:r>
      <w:r>
        <w:rPr>
          <w:rFonts w:ascii="Cambria" w:cs="Cambria" w:eastAsia="Cambria" w:hAnsi="Cambria"/>
          <w:sz w:val="22"/>
          <w:szCs w:val="22"/>
        </w:rPr>
        <w:t xml:space="preserve">la terminaison « -ent » ne tombe plus dans « moment » ou « souvent » ; les élisions ne forment pas de syllabe.</w:t>
      </w:r>
    </w:p>
    <w:p>
      <w:pPr>
        <w:pStyle w:val="Heading2"/>
        <w:keepNext/>
        <w:spacing w:after="120" w:before="280"/>
      </w:pPr>
      <w:r>
        <w:rPr>
          <w:rFonts w:ascii="Cambria" w:cs="Cambria" w:eastAsia="Cambria" w:hAnsi="Cambria"/>
          <w:b/>
          <w:bCs/>
          <w:color w:val="1F2B3A"/>
          <w:sz w:val="24"/>
          <w:szCs w:val="24"/>
        </w:rPr>
        <w:t xml:space="preserve">4.3 Console hors pont et Netlify</w:t>
      </w:r>
    </w:p>
    <w:p>
      <w:pPr>
        <w:spacing w:after="120" w:line="288"/>
        <w:jc w:val="both"/>
      </w:pPr>
      <w:r>
        <w:rPr>
          <w:rFonts w:ascii="Cambria" w:cs="Cambria" w:eastAsia="Cambria" w:hAnsi="Cambria"/>
          <w:sz w:val="22"/>
          <w:szCs w:val="22"/>
        </w:rPr>
        <w:t xml:space="preserve">Servie en ligne, la Console bascule en simulation lorsque le pont local ne répond pas dans les 1,5 s : un objet de même interface que la WebSocket reproduit le robot simulé du pont Python (servos à 90 °/s au plus, cinématique différentielle sur le plateau de 4 × 3 m, batterie, chien de garde, arrêt d'urgence), sans émettre de commande matérielle, sans consigner et sans interroger l'IA. L'essai mené dans le navigateur a vérifié la lecture d'une séquence, le refus des commandes pendant l'arrêt d'urgence, le réarmement et la propulsion. L'adresse « ?simulation=1 » force la démonstration ; netlify.toml déclare les onze routes, et la politique de sécurité du contenu demeure en mode « rapport seulement » jusqu'à un essai d'imitation MediaPipe sans écart.</w:t>
      </w:r>
    </w:p>
    <w:p>
      <w:pPr>
        <w:pStyle w:val="Heading2"/>
        <w:keepNext/>
        <w:spacing w:after="120" w:before="280"/>
      </w:pPr>
      <w:r>
        <w:rPr>
          <w:rFonts w:ascii="Cambria" w:cs="Cambria" w:eastAsia="Cambria" w:hAnsi="Cambria"/>
          <w:b/>
          <w:bCs/>
          <w:color w:val="1F2B3A"/>
          <w:sz w:val="24"/>
          <w:szCs w:val="24"/>
        </w:rPr>
        <w:t xml:space="preserve">4.4 Affiliation et dépôt public (B-001)</w:t>
      </w:r>
    </w:p>
    <w:p>
      <w:pPr>
        <w:spacing w:after="120" w:line="288"/>
        <w:jc w:val="both"/>
      </w:pPr>
      <w:r>
        <w:rPr>
          <w:rFonts w:ascii="Cambria" w:cs="Cambria" w:eastAsia="Cambria" w:hAnsi="Cambria"/>
          <w:sz w:val="22"/>
          <w:szCs w:val="22"/>
        </w:rPr>
        <w:t xml:space="preserve">Le guide de la plateforme passe en version 2.0.1 ; l'affiliation a aussi été retirée du README, du tableau public, de l'avis au public S-06 et du questionnaire, et un test interdit désormais son retour. Avant le passage en mode public, git filter-repo a retiré de tout l'historique le dossier partenaire/sources (sept documents, dont des manuscrits inédits et un article d'arXiv) et les index qui en sont extraits, et a remplacé les mentions d'affiliation dans les anciennes versions. Deux sauvegardes intégrales (bundles Git) ont été faites avant l'audit et avant la purge ; le dépôt ne comptait ni demande de tirage ni fourche, de sorte qu'aucune copie de l'ancien historique ne subsiste du côté de GitHub par ces voies.</w:t>
      </w:r>
    </w:p>
    <w:p>
      <w:pPr>
        <w:pStyle w:val="Heading2"/>
        <w:keepNext/>
        <w:spacing w:after="120" w:before="280"/>
      </w:pPr>
      <w:r>
        <w:rPr>
          <w:rFonts w:ascii="Cambria" w:cs="Cambria" w:eastAsia="Cambria" w:hAnsi="Cambria"/>
          <w:b/>
          <w:bCs/>
          <w:color w:val="1F2B3A"/>
          <w:sz w:val="24"/>
          <w:szCs w:val="24"/>
        </w:rPr>
        <w:t xml:space="preserve">4.5 Journaux S04 (B-010)</w:t>
      </w:r>
    </w:p>
    <w:p>
      <w:pPr>
        <w:spacing w:after="120" w:line="288"/>
        <w:jc w:val="both"/>
      </w:pPr>
      <w:r>
        <w:rPr>
          <w:rFonts w:ascii="Cambria" w:cs="Cambria" w:eastAsia="Cambria" w:hAnsi="Cambria"/>
          <w:sz w:val="22"/>
          <w:szCs w:val="22"/>
        </w:rPr>
        <w:t xml:space="preserve">Les deux séances du 10 octobre ont été closes a posteriori par un outil versionné qui vérifie, recalcule, puis scelle : le journal brut n'est pas réécrit, une seule ligne de clôture y est ajoutée, la date de fin retenue est celle de la dernière entrée, et les compteurs reconstitués sont consignés à côté des valeurs d'origine. La cause est corrigée à la source, Seance.compter() écrivant désormais chaque incrément. Le procès-verbal du 16 octobre détaille les empreintes, les écarts et les constats, dont deux arrêts d'urgence de S04_001 que les métadonnées ignoraient.</w:t>
      </w:r>
    </w:p>
    <w:p>
      <w:pPr>
        <w:pStyle w:val="Heading1"/>
        <w:keepNext/>
        <w:spacing w:after="120" w:before="280"/>
      </w:pPr>
      <w:r>
        <w:rPr>
          <w:rFonts w:ascii="Cambria" w:cs="Cambria" w:eastAsia="Cambria" w:hAnsi="Cambria"/>
          <w:b/>
          <w:bCs/>
          <w:color w:val="1F2B3A"/>
          <w:sz w:val="28"/>
          <w:szCs w:val="28"/>
        </w:rPr>
        <w:t xml:space="preserve">5. Vérifications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cantSplit/>
          <w:tblHeader/>
        </w:trPr>
        <w:tc>
          <w:tcPr>
            <w:tcW w:type="dxa" w:w="3744"/>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Vérification</w:t>
            </w:r>
          </w:p>
        </w:tc>
        <w:tc>
          <w:tcPr>
            <w:tcW w:type="dxa" w:w="5616"/>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Résultat</w:t>
            </w:r>
          </w:p>
        </w:tc>
      </w:tr>
      <w:tr>
        <w:trPr>
          <w:cantSplit/>
          <w:tblHeader w:val="false"/>
        </w:trPr>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Suite complète sur le poste de l'équipe</w:t>
            </w:r>
          </w:p>
        </w:tc>
        <w:tc>
          <w:tcPr>
            <w:tcW w:type="dxa" w:w="56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179 réussis, aucun ignoré, aucun échec ; trois passes consécutives réussies</w:t>
            </w:r>
          </w:p>
        </w:tc>
      </w:tr>
      <w:tr>
        <w:trPr>
          <w:cantSplit/>
          <w:tblHeader w:val="false"/>
        </w:trPr>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Clone neuf du dépôt public</w:t>
            </w:r>
          </w:p>
        </w:tc>
        <w:tc>
          <w:tcPr>
            <w:tcW w:type="dxa" w:w="56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176 réussis, 3 ignorés faute des index locaux du partenaire</w:t>
            </w:r>
          </w:p>
        </w:tc>
      </w:tr>
      <w:tr>
        <w:trPr>
          <w:cantSplit/>
          <w:tblHeader w:val="false"/>
        </w:trPr>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Intégration continue GitHub</w:t>
            </w:r>
          </w:p>
        </w:tc>
        <w:tc>
          <w:tcPr>
            <w:tcW w:type="dxa" w:w="56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Réussie pour chaque envoi du 16 octobre</w:t>
            </w:r>
          </w:p>
        </w:tc>
      </w:tr>
      <w:tr>
        <w:trPr>
          <w:cantSplit/>
          <w:tblHeader w:val="false"/>
        </w:trPr>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Historique du dépôt public</w:t>
            </w:r>
          </w:p>
        </w:tc>
        <w:tc>
          <w:tcPr>
            <w:tcW w:type="dxa" w:w="56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Aucun chemin partenaire/sources ni partenaire/index ; aucune adresse courriel, aucun numéro de téléphone, aucune clé</w:t>
            </w:r>
          </w:p>
        </w:tc>
      </w:tr>
      <w:tr>
        <w:trPr>
          <w:cantSplit/>
          <w:tblHeader w:val="false"/>
        </w:trPr>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Interface (navigateur intégré)</w:t>
            </w:r>
          </w:p>
        </w:tc>
        <w:tc>
          <w:tcPr>
            <w:tcW w:type="dxa" w:w="56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Console simulée et robot virtuel 3D sans erreur de console ; posture accroupie au sol</w:t>
            </w:r>
          </w:p>
        </w:tc>
      </w:tr>
      <w:tr>
        <w:trPr>
          <w:cantSplit/>
          <w:tblHeader w:val="false"/>
        </w:trPr>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Documents Word</w:t>
            </w:r>
          </w:p>
        </w:tc>
        <w:tc>
          <w:tcPr>
            <w:tcW w:type="dxa" w:w="56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Rendus et relus : guide v2.0.1 (13 p.), procès-verbal S04 (5 p.)</w:t>
            </w:r>
          </w:p>
        </w:tc>
      </w:tr>
    </w:tbl>
    <w:p>
      <w:pPr>
        <w:spacing w:after="160" w:line="288"/>
        <w:jc w:val="both"/>
      </w:pPr>
      <w:r>
        <w:rPr>
          <w:rFonts w:ascii="Cambria" w:cs="Cambria" w:eastAsia="Cambria" w:hAnsi="Cambria"/>
          <w:color w:val="5F6B7A"/>
          <w:sz w:val="20"/>
          <w:szCs w:val="20"/>
        </w:rPr>
        <w:t xml:space="preserve">Un test réseau (test_flotte_par_le_pont) a dépassé son délai une fois, sous charge ; les trois passes suivantes ont réussi : (Inférence) il s'agit d'une sensibilité au temps de la machine, non d'une régression.</w:t>
      </w:r>
    </w:p>
    <w:p>
      <w:pPr>
        <w:pStyle w:val="Heading1"/>
        <w:keepNext/>
        <w:spacing w:after="120" w:before="280"/>
      </w:pPr>
      <w:r>
        <w:rPr>
          <w:rFonts w:ascii="Cambria" w:cs="Cambria" w:eastAsia="Cambria" w:hAnsi="Cambria"/>
          <w:b/>
          <w:bCs/>
          <w:color w:val="1F2B3A"/>
          <w:sz w:val="28"/>
          <w:szCs w:val="28"/>
        </w:rPr>
        <w:t xml:space="preserve">6. Décisions qui vous reviennent</w:t>
      </w:r>
    </w:p>
    <w:p>
      <w:pPr>
        <w:pStyle w:val="ListParagraph"/>
        <w:numPr>
          <w:ilvl w:val="0"/>
          <w:numId w:val="2"/>
        </w:numPr>
        <w:spacing w:after="80" w:line="288"/>
        <w:jc w:val="both"/>
      </w:pPr>
      <w:r>
        <w:rPr>
          <w:rFonts w:ascii="Cambria" w:cs="Cambria" w:eastAsia="Cambria" w:hAnsi="Cambria"/>
          <w:b/>
          <w:bCs/>
          <w:sz w:val="22"/>
          <w:szCs w:val="22"/>
        </w:rPr>
        <w:t xml:space="preserve">Netlify (B-002) : </w:t>
      </w:r>
      <w:r>
        <w:rPr>
          <w:rFonts w:ascii="Cambria" w:cs="Cambria" w:eastAsia="Cambria" w:hAnsi="Cambria"/>
          <w:sz w:val="22"/>
          <w:szCs w:val="22"/>
        </w:rPr>
        <w:t xml:space="preserve">autoriser le déploiement de web/ sur le projet robo-scene, ou glisser le dossier dans l'interface de Netlify.</w:t>
      </w:r>
    </w:p>
    <w:p>
      <w:pPr>
        <w:pStyle w:val="ListParagraph"/>
        <w:numPr>
          <w:ilvl w:val="0"/>
          <w:numId w:val="2"/>
        </w:numPr>
        <w:spacing w:after="80" w:line="288"/>
        <w:jc w:val="both"/>
      </w:pPr>
      <w:r>
        <w:rPr>
          <w:rFonts w:ascii="Cambria" w:cs="Cambria" w:eastAsia="Cambria" w:hAnsi="Cambria"/>
          <w:b/>
          <w:bCs/>
          <w:sz w:val="22"/>
          <w:szCs w:val="22"/>
        </w:rPr>
        <w:t xml:space="preserve">Procès-verbal S04 : </w:t>
      </w:r>
      <w:r>
        <w:rPr>
          <w:rFonts w:ascii="Cambria" w:cs="Cambria" w:eastAsia="Cambria" w:hAnsi="Cambria"/>
          <w:sz w:val="22"/>
          <w:szCs w:val="22"/>
        </w:rPr>
        <w:t xml:space="preserve">compléter les notes observationnelles et signer ; dire si les deux arrêts d'urgence de S04_001 appellent une fiche d'incident.</w:t>
      </w:r>
    </w:p>
    <w:p>
      <w:pPr>
        <w:pStyle w:val="ListParagraph"/>
        <w:numPr>
          <w:ilvl w:val="0"/>
          <w:numId w:val="2"/>
        </w:numPr>
        <w:spacing w:after="80" w:line="288"/>
        <w:jc w:val="both"/>
      </w:pPr>
      <w:r>
        <w:rPr>
          <w:rFonts w:ascii="Cambria" w:cs="Cambria" w:eastAsia="Cambria" w:hAnsi="Cambria"/>
          <w:b/>
          <w:bCs/>
          <w:sz w:val="22"/>
          <w:szCs w:val="22"/>
        </w:rPr>
        <w:t xml:space="preserve">Ollama : </w:t>
      </w:r>
      <w:r>
        <w:rPr>
          <w:rFonts w:ascii="Cambria" w:cs="Cambria" w:eastAsia="Cambria" w:hAnsi="Cambria"/>
          <w:sz w:val="22"/>
          <w:szCs w:val="22"/>
        </w:rPr>
        <w:t xml:space="preserve">le code refuse déjà les modèles infonuagiques ; leur retrait du poste, qui toucherait d'autres projets, reste votre choix : ollama rm glm-5.1:cloud deepseek-v4-flash:cloud kimi-k2.6:cloud.</w:t>
      </w:r>
    </w:p>
    <w:p>
      <w:pPr>
        <w:pStyle w:val="ListParagraph"/>
        <w:numPr>
          <w:ilvl w:val="0"/>
          <w:numId w:val="2"/>
        </w:numPr>
        <w:spacing w:after="80" w:line="288"/>
        <w:jc w:val="both"/>
      </w:pPr>
      <w:r>
        <w:rPr>
          <w:rFonts w:ascii="Cambria" w:cs="Cambria" w:eastAsia="Cambria" w:hAnsi="Cambria"/>
          <w:b/>
          <w:bCs/>
          <w:sz w:val="22"/>
          <w:szCs w:val="22"/>
        </w:rPr>
        <w:t xml:space="preserve">Politique de sécurité du contenu : </w:t>
      </w:r>
      <w:r>
        <w:rPr>
          <w:rFonts w:ascii="Cambria" w:cs="Cambria" w:eastAsia="Cambria" w:hAnsi="Cambria"/>
          <w:sz w:val="22"/>
          <w:szCs w:val="22"/>
        </w:rPr>
        <w:t xml:space="preserve">la rendre contraignante après une séance d'imitation sans écart.</w:t>
      </w:r>
    </w:p>
    <w:p>
      <w:pPr>
        <w:pStyle w:val="ListParagraph"/>
        <w:numPr>
          <w:ilvl w:val="0"/>
          <w:numId w:val="2"/>
        </w:numPr>
        <w:spacing w:after="80" w:line="288"/>
        <w:jc w:val="both"/>
      </w:pPr>
      <w:r>
        <w:rPr>
          <w:rFonts w:ascii="Cambria" w:cs="Cambria" w:eastAsia="Cambria" w:hAnsi="Cambria"/>
          <w:b/>
          <w:bCs/>
          <w:sz w:val="22"/>
          <w:szCs w:val="22"/>
        </w:rPr>
        <w:t xml:space="preserve">Documents antérieurs : </w:t>
      </w:r>
      <w:r>
        <w:rPr>
          <w:rFonts w:ascii="Cambria" w:cs="Cambria" w:eastAsia="Cambria" w:hAnsi="Cambria"/>
          <w:sz w:val="22"/>
          <w:szCs w:val="22"/>
        </w:rPr>
        <w:t xml:space="preserve">le guide v2.0, qui porte l'ancienne affiliation, demeure dans le projet claude.ai et dans les dossiers 04 et 08 ; à archiver selon votre préférence.</w:t>
      </w:r>
    </w:p>
    <w:p>
      <w:pPr>
        <w:pStyle w:val="Heading1"/>
        <w:keepNext/>
        <w:spacing w:after="120" w:before="280"/>
      </w:pPr>
      <w:r>
        <w:rPr>
          <w:rFonts w:ascii="Cambria" w:cs="Cambria" w:eastAsia="Cambria" w:hAnsi="Cambria"/>
          <w:b/>
          <w:bCs/>
          <w:color w:val="1F2B3A"/>
          <w:sz w:val="28"/>
          <w:szCs w:val="28"/>
        </w:rPr>
        <w:t xml:space="preserve">7. État proposé pour le registre des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8"/>
        <w:gridCol w:w="4576"/>
        <w:gridCol w:w="1664"/>
        <w:gridCol w:w="1872"/>
      </w:tblGrid>
      <w:tr>
        <w:trPr>
          <w:cantSplit/>
          <w:tblHeader/>
        </w:trPr>
        <w:tc>
          <w:tcPr>
            <w:tcW w:type="dxa" w:w="1248"/>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ID</w:t>
            </w:r>
          </w:p>
        </w:tc>
        <w:tc>
          <w:tcPr>
            <w:tcW w:type="dxa" w:w="4576"/>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Action</w:t>
            </w:r>
          </w:p>
        </w:tc>
        <w:tc>
          <w:tcPr>
            <w:tcW w:type="dxa" w:w="1664"/>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État</w:t>
            </w:r>
          </w:p>
        </w:tc>
        <w:tc>
          <w:tcPr>
            <w:tcW w:type="dxa" w:w="187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Date</w:t>
            </w:r>
          </w:p>
        </w:tc>
      </w:tr>
      <w:tr>
        <w:trPr>
          <w:cantSplit/>
          <w:tblHeader w:val="false"/>
        </w:trPr>
        <w:tc>
          <w:tcPr>
            <w:tcW w:type="dxa" w:w="124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B-001</w:t>
            </w:r>
          </w:p>
        </w:tc>
        <w:tc>
          <w:tcPr>
            <w:tcW w:type="dxa" w:w="457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Purge des mentions d'affiliation</w:t>
            </w:r>
          </w:p>
        </w:tc>
        <w:tc>
          <w:tcPr>
            <w:tcW w:type="dxa" w:w="166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Terminé</w:t>
            </w:r>
          </w:p>
        </w:tc>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16 oct. 2026</w:t>
            </w:r>
          </w:p>
        </w:tc>
      </w:tr>
      <w:tr>
        <w:trPr>
          <w:cantSplit/>
          <w:tblHeader w:val="false"/>
        </w:trPr>
        <w:tc>
          <w:tcPr>
            <w:tcW w:type="dxa" w:w="124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B-002</w:t>
            </w:r>
          </w:p>
        </w:tc>
        <w:tc>
          <w:tcPr>
            <w:tcW w:type="dxa" w:w="457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Mise à jour de GitHub et de Netlify (v2.2 et plus)</w:t>
            </w:r>
          </w:p>
        </w:tc>
        <w:tc>
          <w:tcPr>
            <w:tcW w:type="dxa" w:w="166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Partiel : GitHub fait</w:t>
            </w:r>
          </w:p>
        </w:tc>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16 oct. 2026</w:t>
            </w:r>
          </w:p>
        </w:tc>
      </w:tr>
      <w:tr>
        <w:trPr>
          <w:cantSplit/>
          <w:tblHeader w:val="false"/>
        </w:trPr>
        <w:tc>
          <w:tcPr>
            <w:tcW w:type="dxa" w:w="124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B-010</w:t>
            </w:r>
          </w:p>
        </w:tc>
        <w:tc>
          <w:tcPr>
            <w:tcW w:type="dxa" w:w="457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Clôture des journaux S04_001 et S04_002</w:t>
            </w:r>
          </w:p>
        </w:tc>
        <w:tc>
          <w:tcPr>
            <w:tcW w:type="dxa" w:w="166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Terminé (signature en attente)</w:t>
            </w:r>
          </w:p>
        </w:tc>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16 oct. 2026</w:t>
            </w:r>
          </w:p>
        </w:tc>
      </w:tr>
      <w:tr>
        <w:trPr>
          <w:cantSplit/>
          <w:tblHeader w:val="false"/>
        </w:trPr>
        <w:tc>
          <w:tcPr>
            <w:tcW w:type="dxa" w:w="124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A-07</w:t>
            </w:r>
          </w:p>
        </w:tc>
        <w:tc>
          <w:tcPr>
            <w:tcW w:type="dxa" w:w="457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Classeur de la grille des biais</w:t>
            </w:r>
          </w:p>
        </w:tc>
        <w:tc>
          <w:tcPr>
            <w:tcW w:type="dxa" w:w="166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Terminé</w:t>
            </w:r>
          </w:p>
        </w:tc>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16 oct. 2026</w:t>
            </w:r>
          </w:p>
        </w:tc>
      </w:tr>
      <w:tr>
        <w:trPr>
          <w:cantSplit/>
          <w:tblHeader w:val="false"/>
        </w:trPr>
        <w:tc>
          <w:tcPr>
            <w:tcW w:type="dxa" w:w="124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A-009</w:t>
            </w:r>
          </w:p>
        </w:tc>
        <w:tc>
          <w:tcPr>
            <w:tcW w:type="dxa" w:w="457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Désignation de SI-02</w:t>
            </w:r>
          </w:p>
        </w:tc>
        <w:tc>
          <w:tcPr>
            <w:tcW w:type="dxa" w:w="166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Terminé</w:t>
            </w:r>
          </w:p>
        </w:tc>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16 oct. 2026</w:t>
            </w:r>
          </w:p>
        </w:tc>
      </w:tr>
      <w:tr>
        <w:trPr>
          <w:cantSplit/>
          <w:tblHeader w:val="false"/>
        </w:trPr>
        <w:tc>
          <w:tcPr>
            <w:tcW w:type="dxa" w:w="124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A-010</w:t>
            </w:r>
          </w:p>
        </w:tc>
        <w:tc>
          <w:tcPr>
            <w:tcW w:type="dxa" w:w="457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Confinement local VP-14</w:t>
            </w:r>
          </w:p>
        </w:tc>
        <w:tc>
          <w:tcPr>
            <w:tcW w:type="dxa" w:w="166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Terminé (code)</w:t>
            </w:r>
          </w:p>
        </w:tc>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16 oct. 2026</w:t>
            </w:r>
          </w:p>
        </w:tc>
      </w:tr>
    </w:tbl>
    <w:p>
      <w:pPr>
        <w:spacing w:after="120"/>
      </w:pPr>
    </w:p>
    <w:p>
      <w:pPr>
        <w:pStyle w:val="Heading1"/>
        <w:keepNext/>
        <w:spacing w:after="120" w:before="280"/>
      </w:pPr>
      <w:r>
        <w:rPr>
          <w:rFonts w:ascii="Cambria" w:cs="Cambria" w:eastAsia="Cambria" w:hAnsi="Cambria"/>
          <w:b/>
          <w:bCs/>
          <w:color w:val="1F2B3A"/>
          <w:sz w:val="28"/>
          <w:szCs w:val="28"/>
        </w:rPr>
        <w:t xml:space="preserve">8. Limites</w:t>
      </w:r>
    </w:p>
    <w:p>
      <w:pPr>
        <w:pStyle w:val="ListParagraph"/>
        <w:numPr>
          <w:ilvl w:val="0"/>
          <w:numId w:val="2"/>
        </w:numPr>
        <w:spacing w:after="80" w:line="288"/>
        <w:jc w:val="both"/>
      </w:pPr>
      <w:r>
        <w:rPr>
          <w:rFonts w:ascii="Cambria" w:cs="Cambria" w:eastAsia="Cambria" w:hAnsi="Cambria"/>
          <w:sz w:val="22"/>
          <w:szCs w:val="22"/>
        </w:rPr>
        <w:t xml:space="preserve">Le déploiement Netlify n'a pas été fait ; le site sert encore la version 2.1.</w:t>
      </w:r>
    </w:p>
    <w:p>
      <w:pPr>
        <w:pStyle w:val="ListParagraph"/>
        <w:numPr>
          <w:ilvl w:val="0"/>
          <w:numId w:val="2"/>
        </w:numPr>
        <w:spacing w:after="80" w:line="288"/>
        <w:jc w:val="both"/>
      </w:pPr>
      <w:r>
        <w:rPr>
          <w:rFonts w:ascii="Cambria" w:cs="Cambria" w:eastAsia="Cambria" w:hAnsi="Cambria"/>
          <w:sz w:val="22"/>
          <w:szCs w:val="22"/>
        </w:rPr>
        <w:t xml:space="preserve">Aucun robot physique n'a été commandé ; la simulation du navigateur n'éprouve ni le micrologiciel ni la couche de sécurité du pont.</w:t>
      </w:r>
    </w:p>
    <w:p>
      <w:pPr>
        <w:pStyle w:val="ListParagraph"/>
        <w:numPr>
          <w:ilvl w:val="0"/>
          <w:numId w:val="2"/>
        </w:numPr>
        <w:spacing w:after="80" w:line="288"/>
        <w:jc w:val="both"/>
      </w:pPr>
      <w:r>
        <w:rPr>
          <w:rFonts w:ascii="Cambria" w:cs="Cambria" w:eastAsia="Cambria" w:hAnsi="Cambria"/>
          <w:sz w:val="22"/>
          <w:szCs w:val="22"/>
        </w:rPr>
        <w:t xml:space="preserve">La pagination du sommaire du guide a été mesurée avec LibreOffice ; Word peut la décaler d'une page (F9 actualise le sommaire).</w:t>
      </w:r>
    </w:p>
    <w:p>
      <w:pPr>
        <w:pStyle w:val="ListParagraph"/>
        <w:numPr>
          <w:ilvl w:val="0"/>
          <w:numId w:val="2"/>
        </w:numPr>
        <w:spacing w:after="80" w:line="288"/>
        <w:jc w:val="both"/>
      </w:pPr>
      <w:r>
        <w:rPr>
          <w:rFonts w:ascii="Cambria" w:cs="Cambria" w:eastAsia="Cambria" w:hAnsi="Cambria"/>
          <w:sz w:val="22"/>
          <w:szCs w:val="22"/>
        </w:rPr>
        <w:t xml:space="preserve">Les identifiants d'actions de l'audit (B-001, A-009…) n'ont pas été rapprochés ligne à ligne du registre Google Docs, tenu par l'assistant hebdomadaire.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8C2CF" w:sz="4"/>
              <w:left w:val="single" w:color="B8C2CF" w:sz="4"/>
              <w:bottom w:val="single" w:color="B8C2CF" w:sz="4"/>
              <w:right w:val="single" w:color="B8C2CF" w:sz="4"/>
            </w:tcBorders>
            <w:shd w:fill="EAF5EC" w:color="auto" w:val="clear"/>
            <w:tcMar>
              <w:top w:type="dxa" w:w="140"/>
              <w:left w:type="dxa" w:w="180"/>
              <w:bottom w:type="dxa" w:w="140"/>
              <w:right w:type="dxa" w:w="180"/>
            </w:tcMar>
          </w:tcPr>
          <w:p>
            <w:pPr>
              <w:spacing w:after="100"/>
            </w:pPr>
            <w:r>
              <w:rPr>
                <w:rFonts w:ascii="Cambria" w:cs="Cambria" w:eastAsia="Cambria" w:hAnsi="Cambria"/>
                <w:b/>
                <w:bCs/>
                <w:color w:val="8A5A00"/>
                <w:sz w:val="23"/>
                <w:szCs w:val="23"/>
              </w:rPr>
              <w:t xml:space="preserve">Encadré final — Conformité ISO/IEC 42001 (mise en œuvre de l'audit)</w:t>
            </w:r>
          </w:p>
          <w:p>
            <w:pPr>
              <w:spacing w:after="80" w:line="288"/>
              <w:jc w:val="both"/>
            </w:pPr>
            <w:r>
              <w:rPr>
                <w:rFonts w:ascii="Cambria" w:cs="Cambria" w:eastAsia="Cambria" w:hAnsi="Cambria"/>
                <w:i/>
                <w:iCs/>
                <w:sz w:val="22"/>
                <w:szCs w:val="22"/>
              </w:rPr>
              <w:t xml:space="preserve">Mise en conformité vérifiée le 16 octobre 2026</w:t>
            </w:r>
          </w:p>
          <w:p>
            <w:pPr>
              <w:spacing w:after="60" w:line="288"/>
              <w:jc w:val="both"/>
            </w:pPr>
            <w:r>
              <w:rPr>
                <w:rFonts w:ascii="Cambria" w:cs="Cambria" w:eastAsia="Cambria" w:hAnsi="Cambria"/>
                <w:sz w:val="22"/>
                <w:szCs w:val="22"/>
              </w:rPr>
              <w:t xml:space="preserve">✅ Gouvernance et pilotage — chaque chantier rattaché à un commit et à un test ; publication du dépôt décidée par vous, déploiement Netlify réservé à votre autorisation.</w:t>
            </w:r>
          </w:p>
          <w:p>
            <w:pPr>
              <w:spacing w:after="60" w:line="288"/>
              <w:jc w:val="both"/>
            </w:pPr>
            <w:r>
              <w:rPr>
                <w:rFonts w:ascii="Cambria" w:cs="Cambria" w:eastAsia="Cambria" w:hAnsi="Cambria"/>
                <w:sz w:val="22"/>
                <w:szCs w:val="22"/>
              </w:rPr>
              <w:t xml:space="preserve">✅ Transparence et documentation — constats de l'audit confirmés, infirmés ou complétés avec leur preuve ; inférences marquées.</w:t>
            </w:r>
          </w:p>
          <w:p>
            <w:pPr>
              <w:spacing w:after="60" w:line="288"/>
              <w:jc w:val="both"/>
            </w:pPr>
            <w:r>
              <w:rPr>
                <w:rFonts w:ascii="Cambria" w:cs="Cambria" w:eastAsia="Cambria" w:hAnsi="Cambria"/>
                <w:sz w:val="22"/>
                <w:szCs w:val="22"/>
              </w:rPr>
              <w:t xml:space="preserve">✅ Gestion des risques — sauvegardes intégrales avant purge et avant clôture ; confinement local de SI-02 (D03, VP-14) ; simulation sans commande matérielle ni IA.</w:t>
            </w:r>
          </w:p>
          <w:p>
            <w:pPr>
              <w:spacing w:after="60" w:line="288"/>
              <w:jc w:val="both"/>
            </w:pPr>
            <w:r>
              <w:rPr>
                <w:rFonts w:ascii="Cambria" w:cs="Cambria" w:eastAsia="Cambria" w:hAnsi="Cambria"/>
                <w:sz w:val="22"/>
                <w:szCs w:val="22"/>
              </w:rPr>
              <w:t xml:space="preserve">✅ Responsabilité et imputabilité — journaux S04 scellés (A.6.2.8), écarts consignés sans écrasement, outil de clôture versionné et idempotent.</w:t>
            </w:r>
          </w:p>
          <w:p>
            <w:pPr>
              <w:spacing w:after="0" w:line="288"/>
              <w:jc w:val="both"/>
            </w:pPr>
            <w:r>
              <w:rPr>
                <w:rFonts w:ascii="Cambria" w:cs="Cambria" w:eastAsia="Cambria" w:hAnsi="Cambria"/>
                <w:sz w:val="22"/>
                <w:szCs w:val="22"/>
              </w:rPr>
              <w:t xml:space="preserve">✅ Éthique et parties prenantes — documents de travail et consentements hors du dépôt public ; affiliation exacte ; stéréotypes du modèle de secours signalés.</w:t>
            </w:r>
          </w:p>
        </w:tc>
      </w:tr>
    </w:tbl>
    <w:p>
      <w:pPr>
        <w:pStyle w:val="Heading1"/>
        <w:keepNext/>
        <w:spacing w:after="120" w:before="280"/>
      </w:pPr>
      <w:r>
        <w:rPr>
          <w:rFonts w:ascii="Cambria" w:cs="Cambria" w:eastAsia="Cambria" w:hAnsi="Cambria"/>
          <w:b/>
          <w:bCs/>
          <w:color w:val="1F2B3A"/>
          <w:sz w:val="28"/>
          <w:szCs w:val="28"/>
        </w:rPr>
        <w:t xml:space="preserve">Ouvrages cités</w:t>
      </w:r>
    </w:p>
    <w:p>
      <w:pPr>
        <w:spacing w:after="120" w:line="288"/>
        <w:jc w:val="left"/>
      </w:pPr>
      <w:r>
        <w:rPr>
          <w:rFonts w:ascii="Cambria" w:cs="Cambria" w:eastAsia="Cambria" w:hAnsi="Cambria"/>
          <w:sz w:val="22"/>
          <w:szCs w:val="22"/>
        </w:rPr>
        <w:t xml:space="preserve">« A.6.2.8 AI System Recording of Event Logs. » </w:t>
      </w:r>
      <w:r>
        <w:rPr>
          <w:rFonts w:ascii="Cambria" w:cs="Cambria" w:eastAsia="Cambria" w:hAnsi="Cambria"/>
          <w:i/>
          <w:iCs/>
          <w:sz w:val="22"/>
          <w:szCs w:val="22"/>
        </w:rPr>
        <w:t xml:space="preserve">ISMS.online</w:t>
      </w:r>
      <w:r>
        <w:rPr>
          <w:rFonts w:ascii="Cambria" w:cs="Cambria" w:eastAsia="Cambria" w:hAnsi="Cambria"/>
          <w:sz w:val="22"/>
          <w:szCs w:val="22"/>
        </w:rPr>
        <w:t xml:space="preserve">, www.isms.online/iso-42001/annex-a-controls/a-6-ai-system-life-cycle/a-6-2-8-ai-system-recording-of-event-logs/. Consulté le 16 oct. 2026.</w:t>
      </w:r>
    </w:p>
    <w:p>
      <w:pPr>
        <w:spacing w:after="120" w:line="288"/>
        <w:jc w:val="left"/>
      </w:pPr>
      <w:r>
        <w:rPr>
          <w:rFonts w:ascii="Cambria" w:cs="Cambria" w:eastAsia="Cambria" w:hAnsi="Cambria"/>
          <w:sz w:val="22"/>
          <w:szCs w:val="22"/>
        </w:rPr>
        <w:t xml:space="preserve">ISO/IEC. </w:t>
      </w:r>
      <w:r>
        <w:rPr>
          <w:rFonts w:ascii="Cambria" w:cs="Cambria" w:eastAsia="Cambria" w:hAnsi="Cambria"/>
          <w:i/>
          <w:iCs/>
          <w:sz w:val="22"/>
          <w:szCs w:val="22"/>
        </w:rPr>
        <w:t xml:space="preserve">ISO/IEC 42001:2023, Information Technology — Artificial Intelligence — Management System</w:t>
      </w:r>
      <w:r>
        <w:rPr>
          <w:rFonts w:ascii="Cambria" w:cs="Cambria" w:eastAsia="Cambria" w:hAnsi="Cambria"/>
          <w:sz w:val="22"/>
          <w:szCs w:val="22"/>
        </w:rPr>
        <w:t xml:space="preserve">. Organisation internationale de normalisation, déc. 2023.</w:t>
      </w:r>
    </w:p>
    <w:p>
      <w:pPr>
        <w:spacing w:after="120" w:line="288"/>
        <w:jc w:val="left"/>
      </w:pPr>
      <w:r>
        <w:rPr>
          <w:rFonts w:ascii="Cambria" w:cs="Cambria" w:eastAsia="Cambria" w:hAnsi="Cambria"/>
          <w:sz w:val="22"/>
          <w:szCs w:val="22"/>
        </w:rPr>
        <w:t xml:space="preserve">Unicode Consortium. « Unicode Normalization Forms. » </w:t>
      </w:r>
      <w:r>
        <w:rPr>
          <w:rFonts w:ascii="Cambria" w:cs="Cambria" w:eastAsia="Cambria" w:hAnsi="Cambria"/>
          <w:i/>
          <w:iCs/>
          <w:sz w:val="22"/>
          <w:szCs w:val="22"/>
        </w:rPr>
        <w:t xml:space="preserve">Unicode Standard Annex #15</w:t>
      </w:r>
      <w:r>
        <w:rPr>
          <w:rFonts w:ascii="Cambria" w:cs="Cambria" w:eastAsia="Cambria" w:hAnsi="Cambria"/>
          <w:sz w:val="22"/>
          <w:szCs w:val="22"/>
        </w:rPr>
        <w:t xml:space="preserve">, unicode.org/reports/tr15/. Consulté le 16 oct. 2026.</w:t>
      </w:r>
    </w:p>
    <w:p>
      <w:pPr>
        <w:spacing w:after="120" w:line="288"/>
        <w:jc w:val="left"/>
      </w:pPr>
      <w:r>
        <w:rPr>
          <w:rFonts w:ascii="Cambria" w:cs="Cambria" w:eastAsia="Cambria" w:hAnsi="Cambria"/>
          <w:i/>
          <w:iCs/>
          <w:color w:val="5F6B7A"/>
          <w:sz w:val="19"/>
          <w:szCs w:val="19"/>
        </w:rPr>
        <w:t xml:space="preserve">Note : les constats proviennent du code, des données et du site examinés le 16 octobre 2026 ; seules les deux références en ligne ont fait l'objet d'une recherche web.</w:t>
      </w:r>
    </w:p>
    <w:p>
      <w:pPr>
        <w:pStyle w:val="Heading1"/>
        <w:keepNext/>
        <w:spacing w:after="120" w:before="280"/>
      </w:pPr>
      <w:r>
        <w:rPr>
          <w:rFonts w:ascii="Cambria" w:cs="Cambria" w:eastAsia="Cambria" w:hAnsi="Cambria"/>
          <w:b/>
          <w:bCs/>
          <w:color w:val="1F2B3A"/>
          <w:sz w:val="28"/>
          <w:szCs w:val="28"/>
        </w:rPr>
        <w:t xml:space="preserve">Annexe — Journal des commits du 16 octobre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44"/>
        <w:gridCol w:w="1352"/>
        <w:gridCol w:w="6864"/>
      </w:tblGrid>
      <w:tr>
        <w:trPr>
          <w:cantSplit/>
          <w:tblHeader/>
        </w:trPr>
        <w:tc>
          <w:tcPr>
            <w:tcW w:type="dxa" w:w="1144"/>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Commit</w:t>
            </w:r>
          </w:p>
        </w:tc>
        <w:tc>
          <w:tcPr>
            <w:tcW w:type="dxa" w:w="135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Heure</w:t>
            </w:r>
          </w:p>
        </w:tc>
        <w:tc>
          <w:tcPr>
            <w:tcW w:type="dxa" w:w="6864"/>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Message</w:t>
            </w:r>
          </w:p>
        </w:tc>
      </w:tr>
      <w:tr>
        <w:trPr>
          <w:cantSplit/>
          <w:tblHeader w:val="false"/>
        </w:trPr>
        <w:tc>
          <w:tcPr>
            <w:tcW w:type="dxa" w:w="11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b12af15</w:t>
            </w:r>
          </w:p>
        </w:tc>
        <w:tc>
          <w:tcPr>
            <w:tcW w:type="dxa" w:w="135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15 oct., 22:55</w:t>
            </w:r>
          </w:p>
        </w:tc>
        <w:tc>
          <w:tcPr>
            <w:tcW w:type="dxa" w:w="686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Robot virtuel 2.2 : 70 gestes, 11 poses, mouvements de scène (correctif intégré)</w:t>
            </w:r>
          </w:p>
        </w:tc>
      </w:tr>
      <w:tr>
        <w:trPr>
          <w:cantSplit/>
          <w:tblHeader w:val="false"/>
        </w:trPr>
        <w:tc>
          <w:tcPr>
            <w:tcW w:type="dxa" w:w="11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efe7f34</w:t>
            </w:r>
          </w:p>
        </w:tc>
        <w:tc>
          <w:tcPr>
            <w:tcW w:type="dxa" w:w="135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16:52</w:t>
            </w:r>
          </w:p>
        </w:tc>
        <w:tc>
          <w:tcPr>
            <w:tcW w:type="dxa" w:w="686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SI-02 désigné : Luciole-8B (principal) et Apertus-8B (secours local) ; blocage cloud/remote renforcé</w:t>
            </w:r>
          </w:p>
        </w:tc>
      </w:tr>
      <w:tr>
        <w:trPr>
          <w:cantSplit/>
          <w:tblHeader w:val="false"/>
        </w:trPr>
        <w:tc>
          <w:tcPr>
            <w:tcW w:type="dxa" w:w="11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12ca8d3</w:t>
            </w:r>
          </w:p>
        </w:tc>
        <w:tc>
          <w:tcPr>
            <w:tcW w:type="dxa" w:w="135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16:54</w:t>
            </w:r>
          </w:p>
        </w:tc>
        <w:tc>
          <w:tcPr>
            <w:tcW w:type="dxa" w:w="686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A-07 : grille de repérage des biais versionnée ; test de génération réactivé</w:t>
            </w:r>
          </w:p>
        </w:tc>
      </w:tr>
      <w:tr>
        <w:trPr>
          <w:cantSplit/>
          <w:tblHeader w:val="false"/>
        </w:trPr>
        <w:tc>
          <w:tcPr>
            <w:tcW w:type="dxa" w:w="11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1a32e55</w:t>
            </w:r>
          </w:p>
        </w:tc>
        <w:tc>
          <w:tcPr>
            <w:tcW w:type="dxa" w:w="135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17:04</w:t>
            </w:r>
          </w:p>
        </w:tc>
        <w:tc>
          <w:tcPr>
            <w:tcW w:type="dxa" w:w="686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Robot virtuel 2.3 : ancrage plantaire, phonétisation française des visèmes ; débit syllabique pondéré</w:t>
            </w:r>
          </w:p>
        </w:tc>
      </w:tr>
      <w:tr>
        <w:trPr>
          <w:cantSplit/>
          <w:tblHeader w:val="false"/>
        </w:trPr>
        <w:tc>
          <w:tcPr>
            <w:tcW w:type="dxa" w:w="11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3228a80</w:t>
            </w:r>
          </w:p>
        </w:tc>
        <w:tc>
          <w:tcPr>
            <w:tcW w:type="dxa" w:w="135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17:11</w:t>
            </w:r>
          </w:p>
        </w:tc>
        <w:tc>
          <w:tcPr>
            <w:tcW w:type="dxa" w:w="686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Console : simulation autonome, routage Netlify des onze pages, en-têtes de sécurité</w:t>
            </w:r>
          </w:p>
        </w:tc>
      </w:tr>
      <w:tr>
        <w:trPr>
          <w:cantSplit/>
          <w:tblHeader w:val="false"/>
        </w:trPr>
        <w:tc>
          <w:tcPr>
            <w:tcW w:type="dxa" w:w="11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00d3eb3</w:t>
            </w:r>
          </w:p>
        </w:tc>
        <w:tc>
          <w:tcPr>
            <w:tcW w:type="dxa" w:w="135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17:12</w:t>
            </w:r>
          </w:p>
        </w:tc>
        <w:tc>
          <w:tcPr>
            <w:tcW w:type="dxa" w:w="686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B-001 : affiliation retirée du code ; test de non-régression</w:t>
            </w:r>
          </w:p>
        </w:tc>
      </w:tr>
      <w:tr>
        <w:trPr>
          <w:cantSplit/>
          <w:tblHeader w:val="false"/>
        </w:trPr>
        <w:tc>
          <w:tcPr>
            <w:tcW w:type="dxa" w:w="11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60c4661</w:t>
            </w:r>
          </w:p>
        </w:tc>
        <w:tc>
          <w:tcPr>
            <w:tcW w:type="dxa" w:w="135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17:14</w:t>
            </w:r>
          </w:p>
        </w:tc>
        <w:tc>
          <w:tcPr>
            <w:tcW w:type="dxa" w:w="686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Dépôt public : documents de travail et index extraits retirés du suivi</w:t>
            </w:r>
          </w:p>
        </w:tc>
      </w:tr>
      <w:tr>
        <w:trPr>
          <w:cantSplit/>
          <w:tblHeader w:val="false"/>
        </w:trPr>
        <w:tc>
          <w:tcPr>
            <w:tcW w:type="dxa" w:w="11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5b85a5c</w:t>
            </w:r>
          </w:p>
        </w:tc>
        <w:tc>
          <w:tcPr>
            <w:tcW w:type="dxa" w:w="135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17:18</w:t>
            </w:r>
          </w:p>
        </w:tc>
        <w:tc>
          <w:tcPr>
            <w:tcW w:type="dxa" w:w="686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Tests dépendant des index locaux ignorés sur un clone neuf ; README</w:t>
            </w:r>
          </w:p>
        </w:tc>
      </w:tr>
      <w:tr>
        <w:trPr>
          <w:cantSplit/>
          <w:tblHeader w:val="false"/>
        </w:trPr>
        <w:tc>
          <w:tcPr>
            <w:tcW w:type="dxa" w:w="11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d55dc08</w:t>
            </w:r>
          </w:p>
        </w:tc>
        <w:tc>
          <w:tcPr>
            <w:tcW w:type="dxa" w:w="135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17:30</w:t>
            </w:r>
          </w:p>
        </w:tc>
        <w:tc>
          <w:tcPr>
            <w:tcW w:type="dxa" w:w="686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B-010 : compteurs écrits à chaque incrément ; outil de clôture et de scellement</w:t>
            </w:r>
          </w:p>
        </w:tc>
      </w:tr>
      <w:tr>
        <w:trPr>
          <w:cantSplit/>
          <w:tblHeader w:val="false"/>
        </w:trPr>
        <w:tc>
          <w:tcPr>
            <w:tcW w:type="dxa" w:w="11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ddb8fe9</w:t>
            </w:r>
          </w:p>
        </w:tc>
        <w:tc>
          <w:tcPr>
            <w:tcW w:type="dxa" w:w="135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17:33</w:t>
            </w:r>
          </w:p>
        </w:tc>
        <w:tc>
          <w:tcPr>
            <w:tcW w:type="dxa" w:w="686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Noms de séquence accentués normalisés en NFC</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5F6B7A"/>
        <w:sz w:val="17"/>
        <w:szCs w:val="17"/>
      </w:rPr>
      <w:t xml:space="preserve">Mise en œuvre de l'audit · ROBO-SCÈNE 2026 · Sylvain Gagné, Ph. D., chercheur indépendant · page </w:t>
    </w:r>
    <w:r>
      <w:rPr>
        <w:rFonts w:ascii="Cambria" w:cs="Cambria" w:eastAsia="Cambria" w:hAnsi="Cambria"/>
        <w:color w:val="5F6B7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mbria" w:cs="Cambria" w:eastAsia="Cambria" w:hAnsi="Cambria"/>
      <w:b/>
      <w:bCs/>
      <w:color w:val="1F2B3A"/>
      <w:sz w:val="28"/>
      <w:szCs w:val="28"/>
    </w:rPr>
  </w:style>
  <w:style w:type="paragraph" w:styleId="Heading2">
    <w:name w:val="Heading 2"/>
    <w:basedOn w:val="Normal"/>
    <w:next w:val="Normal"/>
    <w:qFormat/>
    <w:pPr>
      <w:spacing w:after="100" w:before="200"/>
      <w:outlineLvl w:val="1"/>
    </w:pPr>
    <w:rPr>
      <w:rFonts w:ascii="Cambria" w:cs="Cambria" w:eastAsia="Cambria" w:hAnsi="Cambria"/>
      <w:b/>
      <w:bCs/>
      <w:color w:val="1F2B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mise en œuvre de l'audit ROBO-SCÈNE</dc:title>
  <dc:creator>Sylvain Gagné, Ph. D.</dc:creator>
  <cp:lastModifiedBy>Un-named</cp:lastModifiedBy>
  <cp:revision>1</cp:revision>
  <dcterms:created xsi:type="dcterms:W3CDTF">2026-10-16T21:44:13.812Z</dcterms:created>
  <dcterms:modified xsi:type="dcterms:W3CDTF">2026-10-16T21:44:13.813Z</dcterms:modified>
</cp:coreProperties>
</file>

<file path=docProps/custom.xml><?xml version="1.0" encoding="utf-8"?>
<Properties xmlns="http://schemas.openxmlformats.org/officeDocument/2006/custom-properties" xmlns:vt="http://schemas.openxmlformats.org/officeDocument/2006/docPropsVTypes"/>
</file>