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28"/>
          <w:szCs w:val="28"/>
        </w:rPr>
        <w:t xml:space="preserve">SYNTHEX CORPORATION AGENTIQUE</w:t>
      </w:r>
    </w:p>
    <w:p>
      <w:pPr>
        <w:pBdr>
          <w:bottom w:val="single" w:color="C9A84C" w:sz="18" w:space="2"/>
        </w:pBdr>
        <w:spacing w:after="240"/>
      </w:pPr>
      <w:r>
        <w:rPr>
          <w:color w:val="2E5F8A"/>
          <w:sz w:val="20"/>
          <w:szCs w:val="20"/>
        </w:rPr>
        <w:t xml:space="preserve">Note de synthèse intégrée — Veille scientifique</w:t>
      </w:r>
    </w:p>
    <w:p>
      <w:pPr>
        <w:spacing w:after="80"/>
      </w:pPr>
      <w:r>
        <w:rPr>
          <w:b/>
          <w:bCs/>
          <w:color w:val="1B2A4A"/>
          <w:sz w:val="36"/>
          <w:szCs w:val="36"/>
        </w:rPr>
        <w:t xml:space="preserve">De l’AGI à l’ASI : état de l’art et implications stratégiques</w:t>
      </w:r>
    </w:p>
    <w:p>
      <w:pPr>
        <w:spacing w:after="240"/>
      </w:pPr>
      <w:r>
        <w:rPr>
          <w:color w:val="1B2A4A"/>
          <w:sz w:val="30"/>
          <w:szCs w:val="30"/>
        </w:rPr>
        <w:t xml:space="preserve">pour l’architecture agentique de SYNTHEX</w:t>
      </w:r>
    </w:p>
    <w:p>
      <w:pPr>
        <w:spacing w:after="160" w:line="360"/>
        <w:jc w:val="both"/>
      </w:pPr>
      <w:r>
        <w:rPr>
          <w:b/>
          <w:bCs/>
        </w:rPr>
        <w:t xml:space="preserve">Document préparé pour : </w:t>
      </w:r>
      <w:r>
        <w:t xml:space="preserve">Dr. Sylvain Gagné, Ph.D. — Président et actionnaire unique</w:t>
      </w:r>
    </w:p>
    <w:p>
      <w:pPr>
        <w:spacing w:after="160" w:line="360"/>
        <w:jc w:val="both"/>
      </w:pPr>
      <w:r>
        <w:rPr>
          <w:b/>
          <w:bCs/>
        </w:rPr>
        <w:t xml:space="preserve">Module de veille : </w:t>
      </w:r>
      <w:r>
        <w:t xml:space="preserve">intégration de cinq sources AGI/ASI au corpus de référence SYNTHEX</w:t>
      </w:r>
    </w:p>
    <w:p>
      <w:pPr>
        <w:spacing w:after="160" w:line="360"/>
        <w:jc w:val="both"/>
      </w:pPr>
      <w:r>
        <w:rPr>
          <w:b/>
          <w:bCs/>
        </w:rPr>
        <w:t xml:space="preserve">Date : </w:t>
      </w:r>
      <w:r>
        <w:t xml:space="preserve">25 juin 2026   |   </w:t>
      </w:r>
      <w:r>
        <w:rPr>
          <w:b/>
          <w:bCs/>
        </w:rPr>
        <w:t xml:space="preserve">Cadre normatif : </w:t>
      </w:r>
      <w:r>
        <w:t xml:space="preserve">ISO/IEC 42001:2023</w:t>
      </w:r>
    </w:p>
    <w:p>
      <w:pPr>
        <w:spacing w:after="160" w:line="360"/>
        <w:jc w:val="both"/>
      </w:pPr>
      <w:r>
        <w:rPr>
          <w:b/>
          <w:bCs/>
        </w:rPr>
        <w:t xml:space="preserve">Citations : </w:t>
      </w:r>
      <w:r>
        <w:t xml:space="preserve">MLA, 9</w:t>
      </w:r>
      <w:r>
        <w:rPr>
          <w:vertAlign w:val="superscript"/>
        </w:rPr>
        <w:t xml:space="preserve">e</w:t>
      </w:r>
      <w:r>
        <w:t xml:space="preserve"> édition (appels dans le texte et liste des Ouvrages cités)</w:t>
      </w:r>
    </w:p>
    <w:p>
      <w:r>
        <w:br w:type="page"/>
      </w:r>
    </w:p>
    <w:p>
      <w:pPr>
        <w:pStyle w:val="Heading1"/>
      </w:pPr>
      <w:r>
        <w:t xml:space="preserve">Sommaire exécutif</w:t>
      </w:r>
    </w:p>
    <w:p>
      <w:pPr>
        <w:spacing w:after="160" w:line="360"/>
        <w:jc w:val="both"/>
      </w:pPr>
      <w:r>
        <w:t xml:space="preserve">La présente note intègre au corpus de référence de SYNTHEX cinq sources récentes consacrées à l’intelligence artificielle générale (AGI) et à la superintelligence artificielle (ASI). Le champ a quitté la spéculation pour des cadres mesurables : Hendrycks et al. proposent une définition psychométrique de l’AGI ancrée dans la théorie de Cattell-Horn-Carroll, tandis que l’équipe de Google DeepMind cartographie quatre voies concrètes menant de l’AGI à l’ASI (</w:t>
      </w:r>
      <w:r>
        <w:t xml:space="preserve">From AGI to ASI</w:t>
      </w:r>
      <w:r>
        <w:t xml:space="preserve">). En parallèle, Mumuni et Mumuni recensent les obstacles cognitifs fondamentaux des grands modèles de langage, Bennett resitue l’AGI dans la dialectique de la recherche et de l’approximation, et Shah et al. exposent une stratégie technique de sûreté articulée autour de quatre familles de risques. </w:t>
      </w:r>
      <w:r>
        <w:t xml:space="preserve">L’apport pour SYNTHEX est double : ces travaux valident a posteriori plusieurs choix d’architecture — collectif d’agents spécialisés, boucle d’auto-amélioration OUROBOROS, mémoire vectorielle à trois niveaux — tout en désignant les zones de vigilance que la Convention de Gouvernance Agentique (CGA) et l’agent THEMIS doivent surveiller en priorité.</w:t>
      </w:r>
    </w:p>
    <w:p>
      <w:pPr>
        <w:pStyle w:val="Heading1"/>
      </w:pPr>
      <w:r>
        <w:t xml:space="preserve">1. Le corpus intégré</w:t>
      </w:r>
    </w:p>
    <w:p>
      <w:pPr>
        <w:spacing w:after="160" w:line="360"/>
        <w:jc w:val="both"/>
      </w:pPr>
      <w:r>
        <w:t xml:space="preserve">Cinq documents, déposés et lus intégralement, constituent la matière de cette synthèse. Le tableau qui suit en récapitule l’identité bibliographique et la contribution propre ; les appels dans le texte renvoient à la liste des Ouvrages cités placée en fin de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B8C4D0" w:sz="1"/>
              <w:left w:val="single" w:color="B8C4D0" w:sz="1"/>
              <w:bottom w:val="single" w:color="B8C4D0" w:sz="1"/>
              <w:right w:val="single" w:color="B8C4D0" w:sz="1"/>
            </w:tcBorders>
            <w:shd w:fill="1B2A4A" w:val="clear"/>
            <w:tcMar>
              <w:top w:type="dxa" w:w="80"/>
              <w:left w:type="dxa" w:w="120"/>
              <w:bottom w:type="dxa" w:w="80"/>
              <w:right w:type="dxa" w:w="120"/>
            </w:tcMar>
          </w:tcPr>
          <w:p>
            <w:pPr>
              <w:spacing w:line="280"/>
            </w:pPr>
            <w:r>
              <w:rPr>
                <w:b/>
                <w:bCs/>
                <w:color w:val="FFFFFF"/>
                <w:sz w:val="20"/>
                <w:szCs w:val="20"/>
              </w:rPr>
              <w:t xml:space="preserve">Source</w:t>
            </w:r>
          </w:p>
        </w:tc>
        <w:tc>
          <w:tcPr>
            <w:tcW w:type="dxa" w:w="1500"/>
            <w:tcBorders>
              <w:top w:val="single" w:color="B8C4D0" w:sz="1"/>
              <w:left w:val="single" w:color="B8C4D0" w:sz="1"/>
              <w:bottom w:val="single" w:color="B8C4D0" w:sz="1"/>
              <w:right w:val="single" w:color="B8C4D0" w:sz="1"/>
            </w:tcBorders>
            <w:shd w:fill="1B2A4A" w:val="clear"/>
            <w:tcMar>
              <w:top w:type="dxa" w:w="80"/>
              <w:left w:type="dxa" w:w="120"/>
              <w:bottom w:type="dxa" w:w="80"/>
              <w:right w:type="dxa" w:w="120"/>
            </w:tcMar>
          </w:tcPr>
          <w:p>
            <w:pPr>
              <w:spacing w:line="280"/>
            </w:pPr>
            <w:r>
              <w:rPr>
                <w:b/>
                <w:bCs/>
                <w:color w:val="FFFFFF"/>
                <w:sz w:val="20"/>
                <w:szCs w:val="20"/>
              </w:rPr>
              <w:t xml:space="preserve">Référence</w:t>
            </w:r>
          </w:p>
        </w:tc>
        <w:tc>
          <w:tcPr>
            <w:tcW w:type="dxa" w:w="5260"/>
            <w:tcBorders>
              <w:top w:val="single" w:color="B8C4D0" w:sz="1"/>
              <w:left w:val="single" w:color="B8C4D0" w:sz="1"/>
              <w:bottom w:val="single" w:color="B8C4D0" w:sz="1"/>
              <w:right w:val="single" w:color="B8C4D0" w:sz="1"/>
            </w:tcBorders>
            <w:shd w:fill="1B2A4A" w:val="clear"/>
            <w:tcMar>
              <w:top w:type="dxa" w:w="80"/>
              <w:left w:type="dxa" w:w="120"/>
              <w:bottom w:type="dxa" w:w="80"/>
              <w:right w:type="dxa" w:w="120"/>
            </w:tcMar>
          </w:tcPr>
          <w:p>
            <w:pPr>
              <w:spacing w:line="280"/>
            </w:pPr>
            <w:r>
              <w:rPr>
                <w:b/>
                <w:bCs/>
                <w:color w:val="FFFFFF"/>
                <w:sz w:val="20"/>
                <w:szCs w:val="20"/>
              </w:rPr>
              <w:t xml:space="preserve">Contribution centrale</w:t>
            </w:r>
          </w:p>
        </w:tc>
      </w:tr>
      <w:tr>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Hendrycks et al., « A Definition of AGI »</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arXiv 2510.18212</w:t>
            </w:r>
          </w:p>
        </w:tc>
        <w:tc>
          <w:tcPr>
            <w:tcW w:type="dxa" w:w="526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Définition quantifiable de l’AGI fondée sur la psychométrie CHC ; mise en évidence d’un profil cognitif « dentelé ».</w:t>
            </w:r>
          </w:p>
        </w:tc>
      </w:tr>
      <w:tr>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Google DeepMind, « From AGI to ASI »</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arXiv 2606.12683</w:t>
            </w:r>
          </w:p>
        </w:tc>
        <w:tc>
          <w:tcPr>
            <w:tcW w:type="dxa" w:w="526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Quatre voies de transition vers l’ASI ; frictions et avantages numériques du calcul.</w:t>
            </w:r>
          </w:p>
        </w:tc>
      </w:tr>
      <w:tr>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Shah et al., « An Approach to Technical AGI Safety and Security »</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arXiv 2504.01849</w:t>
            </w:r>
          </w:p>
        </w:tc>
        <w:tc>
          <w:tcPr>
            <w:tcW w:type="dxa" w:w="526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Taxonomie des risques (mésusage, désalignement, erreurs, risques structurels) et lignes de défense techniques.</w:t>
            </w:r>
          </w:p>
        </w:tc>
      </w:tr>
      <w:tr>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Mumuni et Mumuni, « LLMs for AGI: A Survey »</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arXiv 2501.03151</w:t>
            </w:r>
          </w:p>
        </w:tc>
        <w:tc>
          <w:tcPr>
            <w:tcW w:type="dxa" w:w="526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Quatre problèmes fondationnels des LLM : incarnation, ancrage symbolique, causalité, mémoire.</w:t>
            </w:r>
          </w:p>
        </w:tc>
      </w:tr>
      <w:tr>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Bennett, « What The F*ck Is AGI? »</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arXiv 2503.23923</w:t>
            </w:r>
          </w:p>
        </w:tc>
        <w:tc>
          <w:tcPr>
            <w:tcW w:type="dxa" w:w="526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AGI comme « scientifique artificiel » ; outils (recherche/approximation) et méta-approches (scale/simp/w-maxing).</w:t>
            </w:r>
          </w:p>
        </w:tc>
      </w:tr>
    </w:tbl>
    <w:p>
      <w:pPr>
        <w:spacing w:after="160" w:before="80" w:line="360"/>
        <w:jc w:val="both"/>
      </w:pPr>
      <w:r>
        <w:t xml:space="preserve">À ces quatre articles s’ajoute la session d’assistance </w:t>
      </w:r>
      <w:r>
        <w:t xml:space="preserve">alphaXiv</w:t>
      </w:r>
      <w:r>
        <w:t xml:space="preserve"> du 24 juin 2026, document de travail qui a servi de point d’entrée et dont la synthèse cite directement l’article </w:t>
      </w:r>
      <w:r>
        <w:t xml:space="preserve">From AGI to ASI</w:t>
      </w:r>
      <w:r>
        <w:t xml:space="preserve"> (Assistant alphaXiv).</w:t>
      </w:r>
    </w:p>
    <w:p>
      <w:pPr>
        <w:pStyle w:val="Heading1"/>
      </w:pPr>
      <w:r>
        <w:t xml:space="preserve">2. Définir l’AGI : du flou conceptuel à la mesure</w:t>
      </w:r>
    </w:p>
    <w:p>
      <w:pPr>
        <w:spacing w:after="160" w:line="360"/>
        <w:jc w:val="both"/>
      </w:pPr>
      <w:r>
        <w:t xml:space="preserve">Le premier acquis du corpus tient à un déplacement épistémologique. Longtemps tenue pour un « test de Rorschach » sur lequel chacun projette ses espoirs ou ses craintes, la notion d’AGI reçoit désormais une définition opérationnelle. Hendrycks et ses collaborateurs la formulent ainsi :</w:t>
      </w:r>
    </w:p>
    <w:p>
      <w:pPr>
        <w:spacing w:after="160" w:before="80" w:line="300"/>
        <w:ind w:left="720" w:right="720"/>
        <w:jc w:val="both"/>
      </w:pPr>
      <w:r>
        <w:rPr>
          <w:i/>
          <w:iCs/>
          <w:color w:val="333333"/>
        </w:rPr>
        <w:t xml:space="preserve">« AGI is an AI that can match or exceed the cognitive versatility and proficiency of a well-educated adult. »</w:t>
      </w:r>
      <w:r>
        <w:rPr>
          <w:color w:val="333333"/>
        </w:rPr>
        <w:t xml:space="preserve"> (Hendrycks et al.)</w:t>
      </w:r>
    </w:p>
    <w:p>
      <w:pPr>
        <w:spacing w:after="160" w:line="360"/>
        <w:jc w:val="both"/>
      </w:pPr>
      <w:r>
        <w:t xml:space="preserve">Pour rendre cette « polyvalence cognitive » mesurable, les auteurs s’appuient sur la théorie de Cattell-Horn-Carroll, le modèle de l’intelligence humaine le plus solidement validé empiriquement, et décomposent l’intelligence générale en dix domaines cognitifs pesant chacun dix pour cent du score global (Hendrycks et al.). L’application de ce cadre révèle un constat décisif pour toute entreprise qui industrialise des agents : les systèmes contemporains présentent un profil « dentelé » (</w:t>
      </w:r>
      <w:r>
        <w:t xml:space="preserve">jagged</w:t>
      </w:r>
      <w:r>
        <w:t xml:space="preserve">), excellant là où abondent les données d’entraînement — connaissances générales, lecture-écriture, mathématiques — mais accusant des déficits critiques dans les fonctions cognitives de base.</w:t>
      </w:r>
    </w:p>
    <w:p>
      <w:pPr>
        <w:spacing w:after="160" w:before="80" w:line="300"/>
        <w:ind w:left="720" w:right="720"/>
        <w:jc w:val="both"/>
      </w:pPr>
      <w:r>
        <w:rPr>
          <w:i/>
          <w:iCs/>
          <w:color w:val="333333"/>
        </w:rPr>
        <w:t xml:space="preserve">« contemporary AI systems exhibit a highly uneven or “jagged” cognitive profile. While models demonstrate high proficiency in areas that leverage vast training data […] they simultaneously possess critical deficits in foundational cognitive machinery. »</w:t>
      </w:r>
      <w:r>
        <w:rPr>
          <w:color w:val="333333"/>
        </w:rPr>
        <w:t xml:space="preserve"> (Hendrycks et al.)</w:t>
      </w:r>
    </w:p>
    <w:p>
      <w:pPr>
        <w:spacing w:after="160" w:line="360"/>
        <w:jc w:val="both"/>
      </w:pPr>
      <w:r>
        <w:t xml:space="preserve">L’exemple le plus parlant concerne la mémoire à long terme : le stockage durable de connaissances nouvelles frôle encore zéro pour cent chez les meilleurs modèles, lacune que les architectures contournent par des fenêtres de contexte démesurées ou des dispositifs de récupération augmentée (RAG) — une « contorsion technique » plutôt qu’une mémoire dynamique authentique (Hendrycks et al. ; Assistant alphaXiv). </w:t>
      </w:r>
      <w:r>
        <w:t xml:space="preserve">Bennett aborde la même question par un autre versant : refusant les définitions anthropomorphiques, il caractérise l’intelligence comme capacité d’adaptation et l’AGI comme un « scientifique artificiel », bâti sur deux outils fondamentaux — la recherche et l’approximation — dont les architectures actuelles (o3, AlphaGo, AERA, NARS, Hyperon) ne sont que des combinaisons particulières (Bennett).</w:t>
      </w:r>
    </w:p>
    <w:p>
      <w:pPr>
        <w:pStyle w:val="Heading1"/>
      </w:pPr>
      <w:r>
        <w:t xml:space="preserve">3. Les fondations cognitives manquantes des modèles de langage</w:t>
      </w:r>
    </w:p>
    <w:p>
      <w:pPr>
        <w:spacing w:after="160" w:line="360"/>
        <w:jc w:val="both"/>
      </w:pPr>
      <w:r>
        <w:t xml:space="preserve">Là où Hendrycks et al. mesurent le déficit, Mumuni et Mumuni en diagnostiquent les causes. Leur recension soutient que les capacités cognitives des LLM de pointe demeurent « superficielles et fragiles » et que quatre problèmes fondationnels doivent être résolus pour atteindre une intelligence générale de niveau humain : l’incarnation (</w:t>
      </w:r>
      <w:r>
        <w:t xml:space="preserve">embodiment</w:t>
      </w:r>
      <w:r>
        <w:t xml:space="preserve">), l’ancrage symbolique (</w:t>
      </w:r>
      <w:r>
        <w:t xml:space="preserve">symbol grounding</w:t>
      </w:r>
      <w:r>
        <w:t xml:space="preserve">), la causalité et la mémoire (Mumuni et Mumuni). Ces quatre piliers ne relèvent pas de l’ajustement marginal : ils touchent à la manière même dont un système relie ses représentations internes au monde, distingue corrélation et causation, et apprend sans oublier.</w:t>
      </w:r>
    </w:p>
    <w:p>
      <w:pPr>
        <w:spacing w:after="160" w:line="360"/>
        <w:jc w:val="both"/>
      </w:pPr>
      <w:r>
        <w:t xml:space="preserve">(Inférence) Pour SYNTHEX, ce diagnostic n’est pas qu’académique : il explique pourquoi un agent isolé, aussi performant soit-il en génération de texte, ne peut tenir lieu d’organisation. La fragilité documentée par Mumuni et Mumuni justifie la redondance, la spécialisation et la supervision croisée qui structurent le Conseil agentique.</w:t>
      </w:r>
    </w:p>
    <w:p>
      <w:pPr>
        <w:pStyle w:val="Heading1"/>
      </w:pPr>
      <w:r>
        <w:t xml:space="preserve">4. De l’AGI à l’ASI : quatre voies de transition</w:t>
      </w:r>
    </w:p>
    <w:p>
      <w:pPr>
        <w:spacing w:after="160" w:line="360"/>
        <w:jc w:val="both"/>
      </w:pPr>
      <w:r>
        <w:t xml:space="preserve">Le rapport </w:t>
      </w:r>
      <w:r>
        <w:t xml:space="preserve">From AGI to ASI</w:t>
      </w:r>
      <w:r>
        <w:t xml:space="preserve"> de Google DeepMind prolonge la trajectoire au-delà du niveau humain. L’ASI y est définie comme une intelligence générale dotée de capacités surhumaines dans la quasi-totalité des tâches et domaines d’intérêt humain — surpassant non plus un individu, mais des organisations entières d’experts (From AGI to ASI). Les auteurs identifient quatre voies, assorties de leurs frictions :</w:t>
      </w:r>
    </w:p>
    <w:p>
      <w:pPr>
        <w:pStyle w:val="ListParagraph"/>
        <w:numPr>
          <w:ilvl w:val="0"/>
          <w:numId w:val="2"/>
        </w:numPr>
        <w:spacing w:after="80" w:line="340"/>
        <w:jc w:val="both"/>
      </w:pPr>
      <w:r>
        <w:t xml:space="preserve">Voie 1 — Passage à l’échelle (</w:t>
      </w:r>
      <w:r>
        <w:rPr>
          <w:i/>
          <w:iCs/>
        </w:rPr>
        <w:t xml:space="preserve">scaling</w:t>
      </w:r>
      <w:r>
        <w:t xml:space="preserve">) : accroissement massif du calcul, de la taille des modèles et des données, notamment par le calcul à l’inférence. Limites : énergie, épuisement des données textuelles humaines, plafonds matériels (From AGI to ASI).</w:t>
      </w:r>
    </w:p>
    <w:p>
      <w:pPr>
        <w:pStyle w:val="ListParagraph"/>
        <w:numPr>
          <w:ilvl w:val="0"/>
          <w:numId w:val="2"/>
        </w:numPr>
        <w:spacing w:after="80" w:line="340"/>
        <w:jc w:val="both"/>
      </w:pPr>
      <w:r>
        <w:t xml:space="preserve">Voie 2 — Ruptures de paradigme : architectures plus sobres en énergie, capables d’apprendre de moins de données, affranchies du pré-entraînement sur corpus figés (From AGI to ASI).</w:t>
      </w:r>
    </w:p>
    <w:p>
      <w:pPr>
        <w:pStyle w:val="ListParagraph"/>
        <w:numPr>
          <w:ilvl w:val="0"/>
          <w:numId w:val="2"/>
        </w:numPr>
        <w:spacing w:after="80" w:line="340"/>
        <w:jc w:val="both"/>
      </w:pPr>
      <w:r>
        <w:t xml:space="preserve">Voie 3 — Auto-amélioration récursive : l’AGI conçoit la génération suivante d’IA (code, architectures, données synthétiques, puces), d’où une possible « explosion d’intelligence » freinée par le temps de validation matérielle (From AGI to ASI).</w:t>
      </w:r>
    </w:p>
    <w:p>
      <w:pPr>
        <w:pStyle w:val="ListParagraph"/>
        <w:numPr>
          <w:ilvl w:val="0"/>
          <w:numId w:val="2"/>
        </w:numPr>
        <w:spacing w:after="80" w:line="340"/>
        <w:jc w:val="both"/>
      </w:pPr>
      <w:r>
        <w:t xml:space="preserve">Voie 4 — Intelligence collective : l’ASI émerge de l’orchestration de milliers d’AGI spécialisées au sein d’une « économie d’agents », exploitant la réplication sans perte, le partage d’expérience à haut débit et l’indépendance au support physique (From AGI to ASI).</w:t>
      </w:r>
    </w:p>
    <w:p>
      <w:pPr>
        <w:spacing w:after="160" w:line="360"/>
        <w:jc w:val="both"/>
      </w:pPr>
      <w:r>
        <w:t xml:space="preserve">(Inférence) Ces deux dernières voies décrivent, à l’échelle théorique, exactement l’architecture de SYNTHEX. La boucle OUROBOROS — détection d’anomalies à deux écarts-types, correctif testé en bac à sable, déploiement journalisé — est une implémentation prudente et bornée de la Voie 3. Et le Conseil des douze agents constitue, en miniature, l’« économie d’agents » de la Voie 4. Le corpus confère ainsi à SYNTHEX une assise conceptuelle : l’entreprise ne juxtapose pas des automatisations, elle parie sur la voie que la recherche de pointe juge la plus prometteuse pour dépasser les limites d’un modèle unique.</w:t>
      </w:r>
    </w:p>
    <w:p>
      <w:pPr>
        <w:pStyle w:val="Heading1"/>
      </w:pPr>
      <w:r>
        <w:t xml:space="preserve">5. Sûreté technique et gouvernance : la dette de l’autonomie</w:t>
      </w:r>
    </w:p>
    <w:p>
      <w:pPr>
        <w:spacing w:after="160" w:line="360"/>
        <w:jc w:val="both"/>
      </w:pPr>
      <w:r>
        <w:t xml:space="preserve">La puissance appelle la maîtrise. Shah et al. structurent la sûreté de l’AGI autour de quatre familles de risques — mésusage, désalignement, erreurs et risques structurels — et concentrent leur stratégie technique sur les deux premières (Shah et al.). Contre le mésusage, ils préconisent l’identification proactive des capacités dangereuses, la sécurité robuste, la restriction d’accès et la surveillance. Contre le désalignement, ils déploient deux lignes de défense : au niveau du modèle (supervision amplifiée, entraînement robuste) et au niveau du système (surveillance et contrôle d’accès capables de limiter les dommages même si le modèle est désaligné), l’ensemble étant renforcé par l’interprétabilité, l’estimation de l’incertitude et des « patrons de conception plus sûrs » (Shah et al.).</w:t>
      </w:r>
    </w:p>
    <w:p>
      <w:pPr>
        <w:spacing w:after="160" w:line="360"/>
        <w:jc w:val="both"/>
      </w:pPr>
      <w:r>
        <w:t xml:space="preserve">(Inférence) Cette grille se superpose presque terme à terme aux dispositifs de la CGA. Les seuils de veto — notification au-delà de 500 CAD, veto obligatoire au-delà de 1 000 CAD, blocage absolu de tout contact presse — sont des contrôles d’accès au sens de Shah et al. L’exclusion de THEMIS et d’ARES du périmètre d’OUROBOROS relève du « patron de conception plus sûr » : on interdit à la boucle d’auto-amélioration de réécrire ses propres garde-fous. Quant à l’agent THEMIS, audit ISO 42001 et journalisation SHA-256 à l’appui, il incarne la surveillance de niveau système que les auteurs jugent indispensable.</w:t>
      </w:r>
    </w:p>
    <w:p>
      <w:pPr>
        <w:pStyle w:val="Heading1"/>
      </w:pPr>
      <w:r>
        <w:t xml:space="preserve">6. Implications opérationnelles pour SYNTHEX</w:t>
      </w:r>
    </w:p>
    <w:p>
      <w:pPr>
        <w:spacing w:after="160" w:line="360"/>
        <w:jc w:val="both"/>
      </w:pPr>
      <w:r>
        <w:t xml:space="preserve">La table de correspondance ci-dessous traduit chaque acquis du corpus en orientation concrète pour l’architecture agentique. Les liens marqués « (Inférence) » relèvent de l’analyse de l’auteur et non d’une affirmation des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8C4D0" w:sz="1"/>
              <w:left w:val="single" w:color="B8C4D0" w:sz="1"/>
              <w:bottom w:val="single" w:color="B8C4D0" w:sz="1"/>
              <w:right w:val="single" w:color="B8C4D0" w:sz="1"/>
            </w:tcBorders>
            <w:shd w:fill="2E5F8A" w:val="clear"/>
            <w:tcMar>
              <w:top w:type="dxa" w:w="80"/>
              <w:left w:type="dxa" w:w="120"/>
              <w:bottom w:type="dxa" w:w="80"/>
              <w:right w:type="dxa" w:w="120"/>
            </w:tcMar>
          </w:tcPr>
          <w:p>
            <w:pPr>
              <w:spacing w:line="280"/>
            </w:pPr>
            <w:r>
              <w:rPr>
                <w:b/>
                <w:bCs/>
                <w:color w:val="FFFFFF"/>
                <w:sz w:val="20"/>
                <w:szCs w:val="20"/>
              </w:rPr>
              <w:t xml:space="preserve">Acquis scientifique</w:t>
            </w:r>
          </w:p>
        </w:tc>
        <w:tc>
          <w:tcPr>
            <w:tcW w:type="dxa" w:w="3180"/>
            <w:tcBorders>
              <w:top w:val="single" w:color="B8C4D0" w:sz="1"/>
              <w:left w:val="single" w:color="B8C4D0" w:sz="1"/>
              <w:bottom w:val="single" w:color="B8C4D0" w:sz="1"/>
              <w:right w:val="single" w:color="B8C4D0" w:sz="1"/>
            </w:tcBorders>
            <w:shd w:fill="2E5F8A" w:val="clear"/>
            <w:tcMar>
              <w:top w:type="dxa" w:w="80"/>
              <w:left w:type="dxa" w:w="120"/>
              <w:bottom w:type="dxa" w:w="80"/>
              <w:right w:type="dxa" w:w="120"/>
            </w:tcMar>
          </w:tcPr>
          <w:p>
            <w:pPr>
              <w:spacing w:line="280"/>
            </w:pPr>
            <w:r>
              <w:rPr>
                <w:b/>
                <w:bCs/>
                <w:color w:val="FFFFFF"/>
                <w:sz w:val="20"/>
                <w:szCs w:val="20"/>
              </w:rPr>
              <w:t xml:space="preserve">Dispositif SYNTHEX concerné</w:t>
            </w:r>
          </w:p>
        </w:tc>
        <w:tc>
          <w:tcPr>
            <w:tcW w:type="dxa" w:w="3180"/>
            <w:tcBorders>
              <w:top w:val="single" w:color="B8C4D0" w:sz="1"/>
              <w:left w:val="single" w:color="B8C4D0" w:sz="1"/>
              <w:bottom w:val="single" w:color="B8C4D0" w:sz="1"/>
              <w:right w:val="single" w:color="B8C4D0" w:sz="1"/>
            </w:tcBorders>
            <w:shd w:fill="2E5F8A" w:val="clear"/>
            <w:tcMar>
              <w:top w:type="dxa" w:w="80"/>
              <w:left w:type="dxa" w:w="120"/>
              <w:bottom w:type="dxa" w:w="80"/>
              <w:right w:type="dxa" w:w="120"/>
            </w:tcMar>
          </w:tcPr>
          <w:p>
            <w:pPr>
              <w:spacing w:line="280"/>
            </w:pPr>
            <w:r>
              <w:rPr>
                <w:b/>
                <w:bCs/>
                <w:color w:val="FFFFFF"/>
                <w:sz w:val="20"/>
                <w:szCs w:val="20"/>
              </w:rPr>
              <w:t xml:space="preserve">Orientation (Inférence)</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Profil « dentelé » / déficit de mémoire à long terme (Hendrycks et al.)</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Mémoire à trois niveaux : Redis, PostgreSQL 16, Pinecone</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Investir la couche vectorielle comme mémoire dynamique par agent ; ne pas confondre RAG et mémoire véritable.</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Fragilité cognitive des LLM isolés (Mumuni et Mumuni)</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Spécialisation des 12 agents + orchestration ATLAS</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Maintenir la supervision croisée ; éviter qu’un agent unique porte une décision critique.</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Voie 4 — collectif d’agents (From AGI to ASI)</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Conseil agentique / « économie d’agents » interne</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Valoriser la réplication et le partage d’expérience inter-agents comme avantage stratégique.</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Voie 3 — auto-amélioration récursive (From AGI to ASI)</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Boucle OUROBOROS (2σ, sandbox, ≤ 3 itérations)</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Conserver les bornes ; tout assouplissement relève du veto présidentiel.</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Mésusage et désalignement (Shah et al.)</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Seuils de veto CGA + THEMIS (audit ISO 42001)</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Cartographier explicitement les « capacités dangereuses » d’ARES et des agents financiers.</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pPr>
              <w:spacing w:line="280"/>
            </w:pPr>
            <w:r>
              <w:rPr>
                <w:b w:val="false"/>
                <w:bCs w:val="false"/>
                <w:color w:val="1A1A1A"/>
                <w:sz w:val="20"/>
                <w:szCs w:val="20"/>
              </w:rPr>
              <w:t xml:space="preserve">Sobriété énergétique et données (Bennett ; From AGI to ASI)</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Budget infra (~641–921 CAD/mois) et choix LLM</w:t>
            </w:r>
          </w:p>
        </w:tc>
        <w:tc>
          <w:tcPr>
            <w:tcW w:type="dxa" w:w="3180"/>
            <w:tcBorders>
              <w:top w:val="single" w:color="B8C4D0" w:sz="1"/>
              <w:left w:val="single" w:color="B8C4D0" w:sz="1"/>
              <w:bottom w:val="single" w:color="B8C4D0" w:sz="1"/>
              <w:right w:val="single" w:color="B8C4D0" w:sz="1"/>
            </w:tcBorders>
            <w:tcMar>
              <w:top w:type="dxa" w:w="80"/>
              <w:left w:type="dxa" w:w="120"/>
              <w:bottom w:type="dxa" w:w="80"/>
              <w:right w:type="dxa" w:w="120"/>
            </w:tcMar>
          </w:tcPr>
          <w:p>
            <w:pPr>
              <w:spacing w:line="280"/>
            </w:pPr>
            <w:r>
              <w:rPr>
                <w:b w:val="false"/>
                <w:bCs w:val="false"/>
                <w:color w:val="1A1A1A"/>
                <w:sz w:val="20"/>
                <w:szCs w:val="20"/>
              </w:rPr>
              <w:t xml:space="preserve">Arbitrer Haiku/Sonnet selon la criticité ; surveiller le coût marginal du calcul à l’inférence.</w:t>
            </w:r>
          </w:p>
        </w:tc>
      </w:tr>
    </w:tbl>
    <w:p>
      <w:pPr>
        <w:pStyle w:val="Heading1"/>
      </w:pPr>
      <w:r>
        <w:t xml:space="preserve">7. Conclusion et recommandations</w:t>
      </w:r>
    </w:p>
    <w:p>
      <w:pPr>
        <w:spacing w:after="160" w:line="360"/>
        <w:jc w:val="both"/>
      </w:pPr>
      <w:r>
        <w:t xml:space="preserve">Le corpus intégré conforte la thèse fondatrice de SYNTHEX tout en en précisant les angles morts. D’un côté, la recherche de pointe érige le collectif d’agents auto-améliorant en voie crédible vers des capacités supérieures, ce qui place l’entreprise du bon côté de la trajectoire décrite par Google DeepMind. De l’autre, les mêmes travaux rappellent que la mémoire durable, l’ancrage causal et la maîtrise du désalignement demeurent des problèmes ouverts : les déficits mesurés par Hendrycks et al. et théorisés par Mumuni et Mumuni ne se résolvent pas par l’ajout d’agents, et les risques cartographiés par Shah et al. croissent avec l’autonomie.</w:t>
      </w:r>
    </w:p>
    <w:p>
      <w:pPr>
        <w:spacing w:after="160" w:line="360"/>
        <w:jc w:val="both"/>
      </w:pPr>
      <w:r>
        <w:rPr>
          <w:b/>
          <w:bCs/>
        </w:rPr>
        <w:t xml:space="preserve">Trois recommandations en découlent. </w:t>
      </w:r>
      <w:r>
        <w:rPr>
          <w:b/>
          <w:bCs/>
        </w:rPr>
        <w:t xml:space="preserve">Premièrement</w:t>
      </w:r>
      <w:r>
        <w:t xml:space="preserve">, inscrire au mandat de PROMETHEUS (R&amp;D) une veille trimestrielle sur la mémoire dynamique et l’ancrage symbolique, afin de transformer le déficit « dentelé » en feuille de route. </w:t>
      </w:r>
      <w:r>
        <w:rPr>
          <w:b/>
          <w:bCs/>
        </w:rPr>
        <w:t xml:space="preserve">Deuxièmement</w:t>
      </w:r>
      <w:r>
        <w:t xml:space="preserve">, soumettre la boucle OUROBOROS à une revue formelle de THEMIS au regard de la grille de Shah et al., en consignant la liste des capacités jugées dangereuses. </w:t>
      </w:r>
      <w:r>
        <w:rPr>
          <w:b/>
          <w:bCs/>
        </w:rPr>
        <w:t xml:space="preserve">Troisièmement</w:t>
      </w:r>
      <w:r>
        <w:t xml:space="preserve">, faire de la présente note la première entrée d’un corpus de veille AGI/ASI versionné, alimenté par les prochaines lectures et relié au tableau de bord présidentiel.</w:t>
      </w:r>
    </w:p>
    <w:p>
      <w:r>
        <w:br w:type="page"/>
      </w:r>
    </w:p>
    <w:p>
      <w:pPr>
        <w:shd w:fill="1B2A4A" w:val="clear"/>
        <w:spacing w:after="120"/>
      </w:pPr>
      <w:r>
        <w:rPr>
          <w:b/>
          <w:bCs/>
          <w:color w:val="FFFFFF"/>
          <w:sz w:val="26"/>
          <w:szCs w:val="26"/>
        </w:rPr>
        <w:t xml:space="preserve">   Encadré final — Conformité ISO/IEC 42001:2023</w:t>
      </w:r>
    </w:p>
    <w:p>
      <w:pPr>
        <w:spacing w:after="160" w:line="360"/>
        <w:jc w:val="left"/>
      </w:pPr>
      <w:r>
        <w:rPr>
          <w:i/>
          <w:iCs/>
          <w:color w:val="2E5F8A"/>
        </w:rPr>
        <w:t xml:space="preserve">Mise en conformité vérifiée le 25 juin 2026</w:t>
      </w:r>
    </w:p>
    <w:p>
      <w:pPr>
        <w:spacing w:after="100" w:line="320"/>
        <w:jc w:val="both"/>
      </w:pPr>
      <w:r>
        <w:rPr>
          <w:b/>
          <w:bCs/>
          <w:color w:val="C9A84C"/>
        </w:rPr>
        <w:t xml:space="preserve">✓ </w:t>
      </w:r>
      <w:r>
        <w:rPr>
          <w:b/>
          <w:bCs/>
          <w:color w:val="1B2A4A"/>
        </w:rPr>
        <w:t xml:space="preserve">Gouvernance et pilotage — </w:t>
      </w:r>
      <w:r>
        <w:t xml:space="preserve">Note rattachée au cadre CGA ; finalité (veille scientifique) et destinataire (Président) explicités ; rôle attribué à PROMETHEUS et THEMIS.</w:t>
      </w:r>
    </w:p>
    <w:p>
      <w:pPr>
        <w:spacing w:after="100" w:line="320"/>
        <w:jc w:val="both"/>
      </w:pPr>
      <w:r>
        <w:rPr>
          <w:b/>
          <w:bCs/>
          <w:color w:val="C9A84C"/>
        </w:rPr>
        <w:t xml:space="preserve">✓ </w:t>
      </w:r>
      <w:r>
        <w:rPr>
          <w:b/>
          <w:bCs/>
          <w:color w:val="1B2A4A"/>
        </w:rPr>
        <w:t xml:space="preserve">Transparence et documentation — </w:t>
      </w:r>
      <w:r>
        <w:t xml:space="preserve">Cinq sources identifiées, citées en MLA 9e et vérifiées (identifiants arXiv et auteurs confirmés par recherche web) ; inférences signalées par « (Inférence) ».</w:t>
      </w:r>
    </w:p>
    <w:p>
      <w:pPr>
        <w:spacing w:after="100" w:line="320"/>
        <w:jc w:val="both"/>
      </w:pPr>
      <w:r>
        <w:rPr>
          <w:b/>
          <w:bCs/>
          <w:color w:val="C9A84C"/>
        </w:rPr>
        <w:t xml:space="preserve">✓ </w:t>
      </w:r>
      <w:r>
        <w:rPr>
          <w:b/>
          <w:bCs/>
          <w:color w:val="1B2A4A"/>
        </w:rPr>
        <w:t xml:space="preserve">Gestion des risques — </w:t>
      </w:r>
      <w:r>
        <w:t xml:space="preserve">Intégration explicite de la taxonomie mésusage/désalignement/erreurs/risques structurels (Shah et al.) aux seuils de veto et au périmètre OUROBOROS.</w:t>
      </w:r>
    </w:p>
    <w:p>
      <w:pPr>
        <w:spacing w:after="100" w:line="320"/>
        <w:jc w:val="both"/>
      </w:pPr>
      <w:r>
        <w:rPr>
          <w:b/>
          <w:bCs/>
          <w:color w:val="C9A84C"/>
        </w:rPr>
        <w:t xml:space="preserve">✓ </w:t>
      </w:r>
      <w:r>
        <w:rPr>
          <w:b/>
          <w:bCs/>
          <w:color w:val="1B2A4A"/>
        </w:rPr>
        <w:t xml:space="preserve">Responsabilité et imputabilité — </w:t>
      </w:r>
      <w:r>
        <w:t xml:space="preserve">Traçabilité des sources et des liens ; recommandations assignées à des agents nommés ; versionnement du corpus prévu.</w:t>
      </w:r>
    </w:p>
    <w:p>
      <w:pPr>
        <w:spacing w:after="100" w:line="320"/>
        <w:jc w:val="both"/>
      </w:pPr>
      <w:r>
        <w:rPr>
          <w:b/>
          <w:bCs/>
          <w:color w:val="C9A84C"/>
        </w:rPr>
        <w:t xml:space="preserve">✓ </w:t>
      </w:r>
      <w:r>
        <w:rPr>
          <w:b/>
          <w:bCs/>
          <w:color w:val="1B2A4A"/>
        </w:rPr>
        <w:t xml:space="preserve">Éthique et parties prenantes — </w:t>
      </w:r>
      <w:r>
        <w:t xml:space="preserve">Distinction maintenue entre faits sourcés et analyse de l’auteur ; vigilance affirmée sur l’autonomie, la sûreté et l’usage responsable du calcul.</w:t>
      </w:r>
    </w:p>
    <w:p>
      <w:r>
        <w:br w:type="page"/>
      </w:r>
    </w:p>
    <w:p>
      <w:pPr>
        <w:pStyle w:val="Heading1"/>
      </w:pPr>
      <w:r>
        <w:t xml:space="preserve">Ouvrages cités</w:t>
      </w:r>
    </w:p>
    <w:p>
      <w:pPr>
        <w:spacing w:after="120" w:line="360"/>
        <w:ind w:left="720" w:hanging="720"/>
      </w:pPr>
      <w:r>
        <w:t xml:space="preserve">Assistant alphaXiv. </w:t>
      </w:r>
      <w:r>
        <w:rPr>
          <w:i/>
          <w:iCs/>
        </w:rPr>
        <w:t xml:space="preserve">« Je cherche des textes autour des concepts de AGI et ASI » et « Résume-moi les concepts principaux ». </w:t>
      </w:r>
      <w:r>
        <w:t xml:space="preserve">alphaXiv</w:t>
      </w:r>
      <w:r>
        <w:t xml:space="preserve">, 24 juin 2026, </w:t>
      </w:r>
      <w:hyperlink w:history="1" r:id="rIdgyvu1jqdgdgylx1b9me9w">
        <w:r>
          <w:rPr>
            <w:rStyle w:val="Hyperlink"/>
          </w:rPr>
          <w:t xml:space="preserve">alphaxiv.org</w:t>
        </w:r>
      </w:hyperlink>
      <w:r>
        <w:t xml:space="preserve">. Session d’assistance générée par IA (Gemini 3.5 Flash), citant arXiv 2606.12683.</w:t>
      </w:r>
    </w:p>
    <w:p>
      <w:pPr>
        <w:spacing w:after="120" w:line="360"/>
        <w:ind w:left="720" w:hanging="720"/>
      </w:pPr>
      <w:r>
        <w:t xml:space="preserve">Bennett, Michael Timothy. « What The F*ck Is Artificial General Intelligence? » </w:t>
      </w:r>
      <w:r>
        <w:rPr>
          <w:i/>
          <w:iCs/>
        </w:rPr>
        <w:t xml:space="preserve">arXiv</w:t>
      </w:r>
      <w:r>
        <w:t xml:space="preserve">, version 2, 18 juillet 2025, arXiv:2503.23923, </w:t>
      </w:r>
      <w:hyperlink w:history="1" r:id="rIduea7j4mxddq9dnmsikwj-">
        <w:r>
          <w:rPr>
            <w:rStyle w:val="Hyperlink"/>
          </w:rPr>
          <w:t xml:space="preserve">arxiv.org/abs/2503.23923</w:t>
        </w:r>
      </w:hyperlink>
      <w:r>
        <w:t xml:space="preserve">.</w:t>
      </w:r>
    </w:p>
    <w:p>
      <w:pPr>
        <w:spacing w:after="120" w:line="360"/>
        <w:ind w:left="720" w:hanging="720"/>
      </w:pPr>
      <w:r>
        <w:t xml:space="preserve">Google DeepMind. « From AGI to ASI. » </w:t>
      </w:r>
      <w:r>
        <w:rPr>
          <w:i/>
          <w:iCs/>
        </w:rPr>
        <w:t xml:space="preserve">arXiv</w:t>
      </w:r>
      <w:r>
        <w:t xml:space="preserve">, 10 juin 2026, arXiv:2606.12683, </w:t>
      </w:r>
      <w:hyperlink w:history="1" r:id="rIdnzv9mb3xzzrnvpdybzwv_">
        <w:r>
          <w:rPr>
            <w:rStyle w:val="Hyperlink"/>
          </w:rPr>
          <w:t xml:space="preserve">arxiv.org/abs/2606.12683</w:t>
        </w:r>
      </w:hyperlink>
      <w:r>
        <w:t xml:space="preserve">.</w:t>
      </w:r>
    </w:p>
    <w:p>
      <w:pPr>
        <w:spacing w:after="120" w:line="360"/>
        <w:ind w:left="720" w:hanging="720"/>
      </w:pPr>
      <w:r>
        <w:t xml:space="preserve">Hendrycks, Dan, et al. « A Definition of AGI. » </w:t>
      </w:r>
      <w:r>
        <w:rPr>
          <w:i/>
          <w:iCs/>
        </w:rPr>
        <w:t xml:space="preserve">arXiv</w:t>
      </w:r>
      <w:r>
        <w:t xml:space="preserve">, version 3, 3 décembre 2025, arXiv:2510.18212, </w:t>
      </w:r>
      <w:hyperlink w:history="1" r:id="rIdchprwbetbb1ubp1zuqor2">
        <w:r>
          <w:rPr>
            <w:rStyle w:val="Hyperlink"/>
          </w:rPr>
          <w:t xml:space="preserve">arxiv.org/abs/2510.18212</w:t>
        </w:r>
      </w:hyperlink>
      <w:r>
        <w:t xml:space="preserve">.</w:t>
      </w:r>
    </w:p>
    <w:p>
      <w:pPr>
        <w:spacing w:after="120" w:line="360"/>
        <w:ind w:left="720" w:hanging="720"/>
      </w:pPr>
      <w:r>
        <w:t xml:space="preserve">International Organization for Standardization. </w:t>
      </w:r>
      <w:r>
        <w:rPr>
          <w:i/>
          <w:iCs/>
        </w:rPr>
        <w:t xml:space="preserve">ISO/IEC 42001:2023 — Information Technology — Artificial Intelligence — Management System</w:t>
      </w:r>
      <w:r>
        <w:t xml:space="preserve">. ISO, 2023, </w:t>
      </w:r>
      <w:hyperlink w:history="1" r:id="rId9qcp17nw6zw9_c_ofcqaw">
        <w:r>
          <w:rPr>
            <w:rStyle w:val="Hyperlink"/>
          </w:rPr>
          <w:t xml:space="preserve">iso.org/standard/81230.html</w:t>
        </w:r>
      </w:hyperlink>
      <w:r>
        <w:t xml:space="preserve">.</w:t>
      </w:r>
    </w:p>
    <w:p>
      <w:pPr>
        <w:spacing w:after="120" w:line="360"/>
        <w:ind w:left="720" w:hanging="720"/>
      </w:pPr>
      <w:r>
        <w:t xml:space="preserve">Mumuni, Alhassan, et Fuseini Mumuni. « Large Language Models for Artificial General Intelligence (AGI): A Survey of Foundational Principles and Approaches. » </w:t>
      </w:r>
      <w:r>
        <w:rPr>
          <w:i/>
          <w:iCs/>
        </w:rPr>
        <w:t xml:space="preserve">arXiv</w:t>
      </w:r>
      <w:r>
        <w:t xml:space="preserve">, 6 janvier 2025, arXiv:2501.03151, </w:t>
      </w:r>
      <w:hyperlink w:history="1" r:id="rIdv2oclewolk4oyuk_cmxuw">
        <w:r>
          <w:rPr>
            <w:rStyle w:val="Hyperlink"/>
          </w:rPr>
          <w:t xml:space="preserve">arxiv.org/abs/2501.03151</w:t>
        </w:r>
      </w:hyperlink>
      <w:r>
        <w:t xml:space="preserve">.</w:t>
      </w:r>
    </w:p>
    <w:p>
      <w:pPr>
        <w:spacing w:after="120" w:line="360"/>
        <w:ind w:left="720" w:hanging="720"/>
      </w:pPr>
      <w:r>
        <w:t xml:space="preserve">Shah, Rohin, et al. « An Approach to Technical AGI Safety and Security. » </w:t>
      </w:r>
      <w:r>
        <w:rPr>
          <w:i/>
          <w:iCs/>
        </w:rPr>
        <w:t xml:space="preserve">arXiv</w:t>
      </w:r>
      <w:r>
        <w:t xml:space="preserve">, 2 avril 2025, arXiv:2504.01849, </w:t>
      </w:r>
      <w:hyperlink w:history="1" r:id="rIdwomyceyyujpa1fxu4jghy">
        <w:r>
          <w:rPr>
            <w:rStyle w:val="Hyperlink"/>
          </w:rPr>
          <w:t xml:space="preserve">arxiv.org/abs/2504.01849</w:t>
        </w:r>
      </w:hyperlink>
      <w:r>
        <w:t xml:space="preserve">. Google DeepMind.</w:t>
      </w:r>
    </w:p>
    <w:p>
      <w:pPr>
        <w:spacing w:before="240" w:line="320"/>
      </w:pPr>
      <w:r>
        <w:rPr>
          <w:b/>
          <w:bCs/>
          <w:i/>
          <w:iCs/>
        </w:rPr>
        <w:t xml:space="preserve">Note de méthode. </w:t>
      </w:r>
      <w:r>
        <w:rPr>
          <w:i/>
          <w:iCs/>
          <w:color w:val="555555"/>
          <w:sz w:val="20"/>
          <w:szCs w:val="20"/>
        </w:rPr>
        <w:t xml:space="preserve">Le contenu factuel provient de la lecture directe des PDF déposés et d’une vérification des identifiants arXiv et des auteurs par recherche web (25 juin 2026). Les énoncés non sourcés reliant le corpus à SYNTHEX sont signalés « (Inférence) ». La note retient le style MLA 9e conformément aux préférences de rédaction ; la skill SYNTHEX prévoit par défaut l’APA 7e — conversion possible sur demande.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6"/>
        <w:szCs w:val="16"/>
      </w:rPr>
      <w:t xml:space="preserve">Document confidentiel — Dr. Sylvain Gagné, Ph.D.</w:t>
    </w:r>
    <w:r>
      <w:rPr>
        <w:color w:val="777777"/>
        <w:sz w:val="16"/>
        <w:szCs w:val="16"/>
      </w:rPr>
      <w:t xml:space="preserve">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tabs>
        <w:tab w:val="right" w:pos="9026"/>
      </w:tabs>
    </w:pPr>
    <w:r>
      <w:rPr>
        <w:b/>
        <w:bCs/>
        <w:color w:val="1B2A4A"/>
        <w:sz w:val="16"/>
        <w:szCs w:val="16"/>
      </w:rPr>
      <w:t xml:space="preserve">SYNTHEX CORPORATION AGENTIQUE</w:t>
    </w:r>
    <w:r>
      <w:rPr>
        <w:color w:val="2E5F8A"/>
        <w:sz w:val="16"/>
        <w:szCs w:val="16"/>
      </w:rPr>
      <w:t xml:space="preserve">	Veille scientifique — AGI/ASI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60" w:before="30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yvu1jqdgdgylx1b9me9w" Type="http://schemas.openxmlformats.org/officeDocument/2006/relationships/hyperlink" Target="https://www.alphaxiv.org/" TargetMode="External"/><Relationship Id="rIduea7j4mxddq9dnmsikwj-" Type="http://schemas.openxmlformats.org/officeDocument/2006/relationships/hyperlink" Target="https://arxiv.org/abs/2503.23923" TargetMode="External"/><Relationship Id="rIdnzv9mb3xzzrnvpdybzwv_" Type="http://schemas.openxmlformats.org/officeDocument/2006/relationships/hyperlink" Target="https://arxiv.org/abs/2606.12683" TargetMode="External"/><Relationship Id="rIdchprwbetbb1ubp1zuqor2" Type="http://schemas.openxmlformats.org/officeDocument/2006/relationships/hyperlink" Target="https://arxiv.org/abs/2510.18212" TargetMode="External"/><Relationship Id="rId9qcp17nw6zw9_c_ofcqaw" Type="http://schemas.openxmlformats.org/officeDocument/2006/relationships/hyperlink" Target="https://www.iso.org/standard/81230.html" TargetMode="External"/><Relationship Id="rIdv2oclewolk4oyuk_cmxuw" Type="http://schemas.openxmlformats.org/officeDocument/2006/relationships/hyperlink" Target="https://arxiv.org/abs/2501.03151" TargetMode="External"/><Relationship Id="rIdwomyceyyujpa1fxu4jghy" Type="http://schemas.openxmlformats.org/officeDocument/2006/relationships/hyperlink" Target="https://arxiv.org/abs/2504.01849"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synthèse AGI/ASI — SYNTHEX</dc:title>
  <dc:creator>SYNTHEX Corporation Agentique</dc:creator>
  <cp:lastModifiedBy>Un-named</cp:lastModifiedBy>
  <cp:revision>1</cp:revision>
  <dcterms:created xsi:type="dcterms:W3CDTF">2026-06-25T02:49:53.266Z</dcterms:created>
  <dcterms:modified xsi:type="dcterms:W3CDTF">2026-06-25T02:49:53.267Z</dcterms:modified>
</cp:coreProperties>
</file>

<file path=docProps/custom.xml><?xml version="1.0" encoding="utf-8"?>
<Properties xmlns="http://schemas.openxmlformats.org/officeDocument/2006/custom-properties" xmlns:vt="http://schemas.openxmlformats.org/officeDocument/2006/docPropsVTypes"/>
</file>