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line="480" w:lineRule="auto" w:before="0" w:after="200"/>
        <w:jc w:val="center"/>
      </w:pPr>
      <w:r>
        <w:rPr>
          <w:sz w:val="40"/>
          <w:b/>
        </w:rPr>
        <w:t xml:space="preserve">Dossier SYNTHEX</w:t>
      </w:r>
    </w:p>
    <w:p>
      <w:pPr>
        <w:spacing w:line="480" w:lineRule="auto" w:before="0" w:after="120"/>
        <w:jc w:val="center"/>
      </w:pPr>
      <w:r>
        <w:rPr>
          <w:b/>
        </w:rPr>
        <w:t xml:space="preserve">Écosystème pour une transition AGI → ASI gouvernée</w:t>
      </w:r>
    </w:p>
    <w:p>
      <w:pPr>
        <w:spacing w:line="480" w:lineRule="auto" w:before="0" w:after="120"/>
        <w:jc w:val="center"/>
      </w:pPr>
      <w:r>
        <w:rPr>
          <w:i/>
        </w:rPr>
        <w:t xml:space="preserve">Intégration de l'entreprise SEXTANT (vaisseau amiral)</w:t>
      </w:r>
    </w:p>
    <w:p>
      <w:pPr>
        <w:spacing w:line="480" w:lineRule="auto" w:before="0" w:after="120"/>
        <w:jc w:val="center"/>
      </w:pPr>
      <w:r>
        <w:t xml:space="preserve">Dossier stratégique consolidé — v1.0 — 22 juin 2026</w:t>
      </w:r>
    </w:p>
    <w:p>
      <w:pPr>
        <w:spacing w:line="480" w:lineRule="auto" w:before="0" w:after="120"/>
        <w:jc w:val="center"/>
      </w:pPr>
      <w:r>
        <w:t xml:space="preserve">Fondé sur : Genewein, Tim, </w:t>
      </w:r>
      <w:r>
        <w:rPr>
          <w:i/>
        </w:rPr>
        <w:t xml:space="preserve">et al.</w:t>
      </w:r>
      <w:r>
        <w:t xml:space="preserve"> « From AGI to ASI. » </w:t>
      </w:r>
      <w:r>
        <w:rPr>
          <w:i/>
        </w:rPr>
        <w:t xml:space="preserve">arXiv</w:t>
      </w:r>
      <w:r>
        <w:t xml:space="preserve">, 10 juin 2026.</w:t>
      </w:r>
    </w:p>
    <w:p>
      <w:pPr>
        <w:pageBreakBefore/>
        <w:spacing w:line="240" w:lineRule="auto" w:before="240" w:after="120"/>
        <w:pBdr>
          <w:bottom w:val="single" w:sz="8" w:space="2" w:color="000000"/>
        </w:pBdr>
      </w:pPr>
      <w:r>
        <w:rPr>
          <w:sz w:val="30"/>
          <w:b/>
        </w:rPr>
        <w:t xml:space="preserve">Avant-propos — objet du dossier</w:t>
      </w:r>
    </w:p>
    <w:p>
      <w:pPr>
        <w:spacing w:line="480" w:lineRule="auto" w:before="0" w:after="120"/>
        <w:jc w:val="both"/>
      </w:pPr>
      <w:r>
        <w:t xml:space="preserve">Ce dossier consolide deux choses : </w:t>
      </w:r>
      <w:r>
        <w:rPr>
          <w:b/>
        </w:rPr>
        <w:t xml:space="preserve">(i)</w:t>
      </w:r>
      <w:r>
        <w:t xml:space="preserve"> l'écosystème </w:t>
      </w:r>
      <w:r>
        <w:rPr>
          <w:b/>
        </w:rPr>
        <w:t xml:space="preserve">SYNTHEX</w:t>
      </w:r>
      <w:r>
        <w:t xml:space="preserve">, structure faîtière qui organise le passage de l'AGI à l'ASI non comme un saut technique isolé mais comme une </w:t>
      </w:r>
      <w:r>
        <w:rPr>
          <w:i/>
        </w:rPr>
        <w:t xml:space="preserve">transition civilisationnelle gouvernée</w:t>
      </w:r>
      <w:r>
        <w:t xml:space="preserve"> ; et </w:t>
      </w:r>
      <w:r>
        <w:rPr>
          <w:b/>
        </w:rPr>
        <w:t xml:space="preserve">(ii)</w:t>
      </w:r>
      <w:r>
        <w:t xml:space="preserve"> l'entreprise </w:t>
      </w:r>
      <w:r>
        <w:rPr>
          <w:b/>
        </w:rPr>
        <w:t xml:space="preserve">SEXTANT</w:t>
      </w:r>
      <w:r>
        <w:t xml:space="preserve">, son vaisseau amiral, développée ici dans sa dimension économique, juridique et organisationnelle, puis intégrée au portefeuille. Le programme de recherche SEXTANT (six thèses hétérodoxes, trois phases jalonnées de portes, charte constitutionnelle) constitue le socle ; il est rappelé en fin de dossier et détaillé dans le document </w:t>
      </w:r>
      <w:r>
        <w:rPr>
          <w:i/>
        </w:rPr>
        <w:t xml:space="preserve">Programme SEXTANT</w:t>
      </w:r>
      <w:r>
        <w:t xml:space="preserve">.</w:t>
      </w:r>
    </w:p>
    <w:p>
      <w:pPr>
        <w:spacing w:line="480" w:lineRule="auto" w:before="0" w:after="120"/>
        <w:jc w:val="both"/>
      </w:pPr>
      <w:r>
        <w:t xml:space="preserve">Métaphore directrice de l'ensemble : </w:t>
      </w:r>
      <w:r>
        <w:rPr>
          <w:b/>
        </w:rPr>
        <w:t xml:space="preserve">une flotte, pas un vaisseau unique.</w:t>
      </w:r>
      <w:r>
        <w:t xml:space="preserve"> On ne traverse pas un océan inconnu avec une seule coque surpuissante, mais avec une flotte coordonnée — un instrument de cap (SEXTANT), une coque qui porte (CARÈNE), des repères de confiance (AMER), une ancre patiente (ANCRE) — le tout sous une même amirauté constitutionnelle (SYNTHEX).</w:t>
      </w:r>
    </w:p>
    <w:p>
      <w:pPr>
        <w:pageBreakBefore/>
        <w:spacing w:line="240" w:lineRule="auto" w:before="240" w:after="120"/>
        <w:pBdr>
          <w:bottom w:val="single" w:sz="8" w:space="2" w:color="000000"/>
        </w:pBdr>
      </w:pPr>
      <w:r>
        <w:rPr>
          <w:sz w:val="30"/>
          <w:b/>
        </w:rPr>
        <w:t xml:space="preserve">Partie I — SYNTHEX, l'écosystème</w:t>
      </w:r>
    </w:p>
    <w:p>
      <w:pPr>
        <w:spacing w:line="240" w:lineRule="auto" w:before="160" w:after="80"/>
      </w:pPr>
      <w:r>
        <w:rPr>
          <w:sz w:val="26"/>
          <w:b/>
        </w:rPr>
        <w:t xml:space="preserve">1. Raison d'être &amp; thèse</w:t>
      </w:r>
    </w:p>
    <w:p>
      <w:pPr>
        <w:spacing w:line="480" w:lineRule="auto" w:before="0" w:after="120"/>
        <w:jc w:val="both"/>
      </w:pPr>
      <w:r>
        <w:rPr>
          <w:b/>
        </w:rPr>
        <w:t xml:space="preserve">Raison d'être (inscrite aux statuts).</w:t>
      </w:r>
      <w:r>
        <w:t xml:space="preserve"> « Faire advenir une intelligence générale puis super-intelligente </w:t>
      </w:r>
      <w:r>
        <w:rPr>
          <w:i/>
        </w:rPr>
        <w:t xml:space="preserve">mesurable, gouvernable et alignée</w:t>
      </w:r>
      <w:r>
        <w:t xml:space="preserve">, au bénéfice durable de l'humanité, en subordonnant chaque gain de capacité à une preuve de maîtrise. »</w:t>
      </w:r>
    </w:p>
    <w:p>
      <w:pPr>
        <w:spacing w:line="480" w:lineRule="auto" w:before="0" w:after="120"/>
        <w:jc w:val="both"/>
      </w:pPr>
      <w:r>
        <w:rPr>
          <w:b/>
        </w:rPr>
        <w:t xml:space="preserve">Thèse fondatrice.</w:t>
      </w:r>
      <w:r>
        <w:t xml:space="preserve"> Le rapport </w:t>
      </w:r>
      <w:r>
        <w:rPr>
          <w:i/>
        </w:rPr>
        <w:t xml:space="preserve">From AGI to ASI</w:t>
      </w:r>
      <w:r>
        <w:t xml:space="preserve"> montre que le progrès se fera par cascades le long de quatre trajectoires, freinées par des frictions d'ampleur inconnue, et qu'une discipline nouvelle — mesurer, modéliser, prévoir le progrès de l'IA — deviendra centrale. SYNTHEX en tire une conséquence stratégique que le champ n'a pas encore intégrée : </w:t>
      </w:r>
      <w:r>
        <w:rPr>
          <w:b/>
        </w:rPr>
        <w:t xml:space="preserve">celui qui détient la mesure et la gouvernance de la transition détient l'actif durable</w:t>
      </w:r>
      <w:r>
        <w:t xml:space="preserve">, là où la course à la seule capacité se banalise (efficience ×3 à ×6/an érode tout avantage de modèle). SYNTHEX construit donc, en priorité, la </w:t>
      </w:r>
      <w:r>
        <w:rPr>
          <w:i/>
        </w:rPr>
        <w:t xml:space="preserve">carte et l'amirauté</w:t>
      </w:r>
      <w:r>
        <w:t xml:space="preserve"> ; la capacité frontière vient ensuite, financée par elles.</w:t>
      </w:r>
    </w:p>
    <w:p>
      <w:pPr>
        <w:spacing w:line="240" w:lineRule="auto" w:before="160" w:after="80"/>
      </w:pPr>
      <w:r>
        <w:rPr>
          <w:sz w:val="26"/>
          <w:b/>
        </w:rPr>
        <w:t xml:space="preserve">2. Architecture du portefeuille</w:t>
      </w:r>
    </w:p>
    <w:p>
      <w:pPr>
        <w:spacing w:line="480" w:lineRule="auto" w:before="0" w:after="120"/>
        <w:jc w:val="both"/>
      </w:pPr>
      <w:r>
        <w:t xml:space="preserve">SYNTHEX est une amirauté qui coordonne quatre entités complémentaires sous une constitution unique. SEXTANT est le vaisseau amiral ; les trois autres piliers le portent, le certifient et le financent.</w:t>
      </w:r>
    </w:p>
    <w:p>
      <w:pPr>
        <w:spacing w:line="240" w:lineRule="auto" w:after="120"/>
      </w:pPr>
      <w:r>
        <w:br/>
      </w:r>
      <w:r>
        <w:rPr>
          <w:rFonts w:ascii="Courier New" w:hAnsi="Courier New"/>
          <w:sz w:val="18"/>
        </w:rPr>
        <w:t xml:space="preserve">                    +===================================================+</w:t>
      </w:r>
      <w:r>
        <w:br/>
      </w:r>
      <w:r>
        <w:rPr>
          <w:rFonts w:ascii="Courier New" w:hAnsi="Courier New"/>
          <w:sz w:val="18"/>
        </w:rPr>
        <w:t xml:space="preserve">                    |             SYNTHEX  -  L'AMIRAUTE                 |</w:t>
      </w:r>
      <w:r>
        <w:br/>
      </w:r>
      <w:r>
        <w:rPr>
          <w:rFonts w:ascii="Courier New" w:hAnsi="Courier New"/>
          <w:sz w:val="18"/>
        </w:rPr>
        <w:t xml:space="preserve">                    |  Holding a mission - detient la Constitution et   |</w:t>
      </w:r>
      <w:r>
        <w:br/>
      </w:r>
      <w:r>
        <w:rPr>
          <w:rFonts w:ascii="Courier New" w:hAnsi="Courier New"/>
          <w:sz w:val="18"/>
        </w:rPr>
        <w:t xml:space="preserve">                    |  la mission-lock - coordonne la flotte            |</w:t>
      </w:r>
      <w:r>
        <w:br/>
      </w:r>
      <w:r>
        <w:rPr>
          <w:rFonts w:ascii="Courier New" w:hAnsi="Courier New"/>
          <w:sz w:val="18"/>
        </w:rPr>
        <w:t xml:space="preserve">                    +========+=========+==========+==========+==========+</w:t>
      </w:r>
      <w:r>
        <w:br/>
      </w:r>
      <w:r>
        <w:rPr>
          <w:rFonts w:ascii="Courier New" w:hAnsi="Courier New"/>
          <w:sz w:val="18"/>
        </w:rPr>
        <w:t xml:space="preserve">                             |         |          |          |</w:t>
      </w:r>
      <w:r>
        <w:br/>
      </w:r>
      <w:r>
        <w:rPr>
          <w:rFonts w:ascii="Courier New" w:hAnsi="Courier New"/>
          <w:sz w:val="18"/>
        </w:rPr>
        <w:t xml:space="preserve">                     +-------v--+  +---v-----+  +-v-------+  +v--------+</w:t>
      </w:r>
      <w:r>
        <w:br/>
      </w:r>
      <w:r>
        <w:rPr>
          <w:rFonts w:ascii="Courier New" w:hAnsi="Courier New"/>
          <w:sz w:val="18"/>
        </w:rPr>
        <w:t xml:space="preserve">                     | SEXTANT  |  | CARENE  |  |  AMER   |  | ANCRE   |</w:t>
      </w:r>
      <w:r>
        <w:br/>
      </w:r>
      <w:r>
        <w:rPr>
          <w:rFonts w:ascii="Courier New" w:hAnsi="Courier New"/>
          <w:sz w:val="18"/>
        </w:rPr>
        <w:t xml:space="preserve">                     | mesure,  |  | infra   |  |assurance|  | capital |</w:t>
      </w:r>
      <w:r>
        <w:br/>
      </w:r>
      <w:r>
        <w:rPr>
          <w:rFonts w:ascii="Courier New" w:hAnsi="Courier New"/>
          <w:sz w:val="18"/>
        </w:rPr>
        <w:t xml:space="preserve">                     | prevision|  | d'expe- |  | audit,  |  | patient |</w:t>
      </w:r>
      <w:r>
        <w:br/>
      </w:r>
      <w:r>
        <w:rPr>
          <w:rFonts w:ascii="Courier New" w:hAnsi="Courier New"/>
          <w:sz w:val="18"/>
        </w:rPr>
        <w:t xml:space="preserve">                     | capacite |  | rience &amp;|  |standards|  | dotation|</w:t>
      </w:r>
      <w:r>
        <w:br/>
      </w:r>
      <w:r>
        <w:rPr>
          <w:rFonts w:ascii="Courier New" w:hAnsi="Courier New"/>
          <w:sz w:val="18"/>
        </w:rPr>
        <w:t xml:space="preserve">                     |(vaisseau |  | compute |  |(tiers de|  | securite|</w:t>
      </w:r>
      <w:r>
        <w:br/>
      </w:r>
      <w:r>
        <w:rPr>
          <w:rFonts w:ascii="Courier New" w:hAnsi="Courier New"/>
          <w:sz w:val="18"/>
        </w:rPr>
        <w:t xml:space="preserve">                     | amiral)  |  |(la coque|  | confian-|  |(l'ancre)|</w:t>
      </w:r>
      <w:r>
        <w:br/>
      </w:r>
      <w:r>
        <w:rPr>
          <w:rFonts w:ascii="Courier New" w:hAnsi="Courier New"/>
          <w:sz w:val="18"/>
        </w:rPr>
        <w:t xml:space="preserve">                     |          |  | qui port|  | ce)     |  |         |</w:t>
      </w:r>
      <w:r>
        <w:br/>
      </w:r>
      <w:r>
        <w:rPr>
          <w:rFonts w:ascii="Courier New" w:hAnsi="Courier New"/>
          <w:sz w:val="18"/>
        </w:rPr>
        <w:t xml:space="preserve">                     +----------+  +---------+  +---------+  +---------+</w:t>
      </w:r>
      <w:r>
        <w:br/>
      </w:r>
      <w:r>
        <w:rPr>
          <w:rFonts w:ascii="Courier New" w:hAnsi="Courier New"/>
          <w:sz w:val="18"/>
        </w:rPr>
        <w:t xml:space="preserve">   Metrologie partagee --&gt;  alimente toute la flotte (et vendue a l'exterieur)</w:t>
      </w:r>
      <w:r>
        <w:br/>
      </w:r>
      <w:r>
        <w:rPr>
          <w:rFonts w:ascii="Courier New" w:hAnsi="Courier New"/>
          <w:sz w:val="18"/>
        </w:rPr>
        <w:t xml:space="preserve">   AMER est independante (pare-feu) : elle certifie SEXTANT comme un tiers.</w:t>
      </w:r>
      <w:r>
        <w:br/>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c>
          <w:tcPr>
            <w:tcW w:w="3120" w:type="dxa"/>
            <w:shd w:val="clear" w:fill="E8E8E8"/>
          </w:tcPr>
          <w:p>
            <w:pPr>
              <w:spacing w:line="240" w:lineRule="auto" w:after="20"/>
            </w:pPr>
            <w:r>
              <w:rPr>
                <w:sz w:val="22"/>
                <w:b/>
              </w:rPr>
              <w:t xml:space="preserve">Pilier</w:t>
            </w:r>
          </w:p>
        </w:tc>
        <w:tc>
          <w:tcPr>
            <w:tcW w:w="3120" w:type="dxa"/>
            <w:shd w:val="clear" w:fill="E8E8E8"/>
          </w:tcPr>
          <w:p>
            <w:pPr>
              <w:spacing w:line="240" w:lineRule="auto" w:after="20"/>
            </w:pPr>
            <w:r>
              <w:rPr>
                <w:sz w:val="22"/>
                <w:b/>
              </w:rPr>
              <w:t xml:space="preserve">Rôle dans la flotte</w:t>
            </w:r>
          </w:p>
        </w:tc>
        <w:tc>
          <w:tcPr>
            <w:tcW w:w="3120" w:type="dxa"/>
            <w:shd w:val="clear" w:fill="E8E8E8"/>
          </w:tcPr>
          <w:p>
            <w:pPr>
              <w:spacing w:line="240" w:lineRule="auto" w:after="20"/>
            </w:pPr>
            <w:r>
              <w:rPr>
                <w:sz w:val="22"/>
                <w:b/>
              </w:rPr>
              <w:t xml:space="preserve">Nature</w:t>
            </w:r>
          </w:p>
        </w:tc>
      </w:tr>
      <w:tr>
        <w:tc>
          <w:tcPr>
            <w:tcW w:w="3120" w:type="dxa"/>
          </w:tcPr>
          <w:p>
            <w:pPr>
              <w:spacing w:line="240" w:lineRule="auto" w:after="20"/>
            </w:pPr>
            <w:r>
              <w:rPr>
                <w:sz w:val="22"/>
                <w:b/>
              </w:rPr>
              <w:t xml:space="preserve">SEXTANT</w:t>
            </w:r>
          </w:p>
        </w:tc>
        <w:tc>
          <w:tcPr>
            <w:tcW w:w="3120" w:type="dxa"/>
          </w:tcPr>
          <w:p>
            <w:pPr>
              <w:spacing w:line="240" w:lineRule="auto" w:after="20"/>
            </w:pPr>
            <w:r>
              <w:rPr>
                <w:sz w:val="22"/>
              </w:rPr>
              <w:t xml:space="preserve">Mesure, prévision et capacité (R&amp;D AGI→ASI). Vaisseau amiral : produit la métrologie consommée par toute la flotte et vendue à l'extérieur.</w:t>
            </w:r>
          </w:p>
        </w:tc>
        <w:tc>
          <w:tcPr>
            <w:tcW w:w="3120" w:type="dxa"/>
          </w:tcPr>
          <w:p>
            <w:pPr>
              <w:spacing w:line="240" w:lineRule="auto" w:after="20"/>
            </w:pPr>
            <w:r>
              <w:rPr>
                <w:sz w:val="22"/>
              </w:rPr>
              <w:t xml:space="preserve">Société à mission, contrôlée par l'Amirauté.</w:t>
            </w:r>
          </w:p>
        </w:tc>
      </w:tr>
      <w:tr>
        <w:tc>
          <w:tcPr>
            <w:tcW w:w="3120" w:type="dxa"/>
          </w:tcPr>
          <w:p>
            <w:pPr>
              <w:spacing w:line="240" w:lineRule="auto" w:after="20"/>
            </w:pPr>
            <w:r>
              <w:rPr>
                <w:sz w:val="22"/>
                <w:b/>
              </w:rPr>
              <w:t xml:space="preserve">CARÈNE</w:t>
            </w:r>
          </w:p>
        </w:tc>
        <w:tc>
          <w:tcPr>
            <w:tcW w:w="3120" w:type="dxa"/>
          </w:tcPr>
          <w:p>
            <w:pPr>
              <w:spacing w:line="240" w:lineRule="auto" w:after="20"/>
            </w:pPr>
            <w:r>
              <w:rPr>
                <w:sz w:val="22"/>
              </w:rPr>
              <w:t xml:space="preserve">Infrastructure d'expérience &amp; compute : usines à expériences (T2), sim-to-real, fabrication partenariale. La coque qui porte la flotte ; licenciée aussi à la science et l'industrie.</w:t>
            </w:r>
          </w:p>
        </w:tc>
        <w:tc>
          <w:tcPr>
            <w:tcW w:w="3120" w:type="dxa"/>
          </w:tcPr>
          <w:p>
            <w:pPr>
              <w:spacing w:line="240" w:lineRule="auto" w:after="20"/>
            </w:pPr>
            <w:r>
              <w:rPr>
                <w:sz w:val="22"/>
              </w:rPr>
              <w:t xml:space="preserve">Filiale d'infrastructure mutualisée.</w:t>
            </w:r>
          </w:p>
        </w:tc>
      </w:tr>
      <w:tr>
        <w:tc>
          <w:tcPr>
            <w:tcW w:w="3120" w:type="dxa"/>
          </w:tcPr>
          <w:p>
            <w:pPr>
              <w:spacing w:line="240" w:lineRule="auto" w:after="20"/>
            </w:pPr>
            <w:r>
              <w:rPr>
                <w:sz w:val="22"/>
                <w:b/>
              </w:rPr>
              <w:t xml:space="preserve">AMER</w:t>
            </w:r>
          </w:p>
        </w:tc>
        <w:tc>
          <w:tcPr>
            <w:tcW w:w="3120" w:type="dxa"/>
          </w:tcPr>
          <w:p>
            <w:pPr>
              <w:spacing w:line="240" w:lineRule="auto" w:after="20"/>
            </w:pPr>
            <w:r>
              <w:rPr>
                <w:sz w:val="22"/>
              </w:rPr>
              <w:t xml:space="preserve">Assurance, audit, standards : évaluation indépendante, certification ISO 42001+. Le tiers de confiance de l'économie IA — « l'auditeur de référence ».</w:t>
            </w:r>
          </w:p>
        </w:tc>
        <w:tc>
          <w:tcPr>
            <w:tcW w:w="3120" w:type="dxa"/>
          </w:tcPr>
          <w:p>
            <w:pPr>
              <w:spacing w:line="240" w:lineRule="auto" w:after="20"/>
            </w:pPr>
            <w:r>
              <w:rPr>
                <w:sz w:val="22"/>
              </w:rPr>
              <w:t xml:space="preserve">Entité </w:t>
            </w:r>
            <w:r>
              <w:rPr>
                <w:sz w:val="22"/>
                <w:b/>
              </w:rPr>
              <w:t xml:space="preserve">indépendante</w:t>
            </w:r>
            <w:r>
              <w:rPr>
                <w:sz w:val="22"/>
              </w:rPr>
              <w:t xml:space="preserve"> (pare-feu d'objectivité).</w:t>
            </w:r>
          </w:p>
        </w:tc>
      </w:tr>
      <w:tr>
        <w:tc>
          <w:tcPr>
            <w:tcW w:w="3120" w:type="dxa"/>
          </w:tcPr>
          <w:p>
            <w:pPr>
              <w:spacing w:line="240" w:lineRule="auto" w:after="20"/>
            </w:pPr>
            <w:r>
              <w:rPr>
                <w:sz w:val="22"/>
                <w:b/>
              </w:rPr>
              <w:t xml:space="preserve">ANCRE</w:t>
            </w:r>
          </w:p>
        </w:tc>
        <w:tc>
          <w:tcPr>
            <w:tcW w:w="3120" w:type="dxa"/>
          </w:tcPr>
          <w:p>
            <w:pPr>
              <w:spacing w:line="240" w:lineRule="auto" w:after="20"/>
            </w:pPr>
            <w:r>
              <w:rPr>
                <w:sz w:val="22"/>
              </w:rPr>
              <w:t xml:space="preserve">Capital patient &amp; dotation de sécurité : véhicule d'investissement à tranches conditionnées par les portes, et dotation mission-locked protégée.</w:t>
            </w:r>
          </w:p>
        </w:tc>
        <w:tc>
          <w:tcPr>
            <w:tcW w:w="3120" w:type="dxa"/>
          </w:tcPr>
          <w:p>
            <w:pPr>
              <w:spacing w:line="240" w:lineRule="auto" w:after="20"/>
            </w:pPr>
            <w:r>
              <w:rPr>
                <w:sz w:val="22"/>
              </w:rPr>
              <w:t xml:space="preserve">Véhicule de capital + fondation.</w:t>
            </w:r>
          </w:p>
        </w:tc>
      </w:tr>
    </w:tbl>
    <w:p>
      <w:pPr>
        <w:spacing w:after="0"/>
      </w:pPr>
    </w:p>
    <w:p>
      <w:pPr>
        <w:spacing w:line="240" w:lineRule="auto" w:before="160" w:after="80"/>
      </w:pPr>
      <w:r>
        <w:rPr>
          <w:sz w:val="26"/>
          <w:b/>
        </w:rPr>
        <w:t xml:space="preserve">3. Isomorphisme constitutionnel</w:t>
      </w:r>
    </w:p>
    <w:p>
      <w:pPr>
        <w:spacing w:line="480" w:lineRule="auto" w:before="0" w:after="120"/>
        <w:jc w:val="both"/>
      </w:pPr>
      <w:r>
        <w:t xml:space="preserve">Innovation de gouvernance propre à SYNTHEX : </w:t>
      </w:r>
      <w:r>
        <w:rPr>
          <w:b/>
        </w:rPr>
        <w:t xml:space="preserve">la façon dont on gouverne les agents est la façon dont on gouverne les entreprises.</w:t>
      </w:r>
      <w:r>
        <w:t xml:space="preserve"> La Charte constitutionnelle (12 articles, rappelée en annexe) régit à la fois l'écologie d'agents </w:t>
      </w:r>
      <w:r>
        <w:rPr>
          <w:i/>
        </w:rPr>
        <w:t xml:space="preserve">et</w:t>
      </w:r>
      <w:r>
        <w:t xml:space="preserve"> les sociétés de la flotte. Corrigibilité, séparation des pouvoirs, primauté humaine de l'amendement et clause d'arrêt s'appliquent aux organes humains comme aux agents : même grammaire, deux échelles. Cet isomorphisme rend la gouvernance lisible, auditable et résistante à la dérive.</w:t>
      </w:r>
    </w:p>
    <w:p>
      <w:pPr>
        <w:spacing w:line="240" w:lineRule="auto" w:before="160" w:after="80"/>
      </w:pPr>
      <w:r>
        <w:rPr>
          <w:sz w:val="26"/>
          <w:b/>
        </w:rPr>
        <w:t xml:space="preserve">4. Gouvernance faîtière</w:t>
      </w:r>
    </w:p>
    <w:p>
      <w:pPr>
        <w:spacing w:line="480" w:lineRule="auto" w:before="0" w:after="120"/>
        <w:jc w:val="both"/>
      </w:pPr>
      <w:r>
        <w:t xml:space="preserve">L'</w:t>
      </w:r>
      <w:r>
        <w:rPr>
          <w:b/>
        </w:rPr>
        <w:t xml:space="preserve">Amirauté</w:t>
      </w:r>
      <w:r>
        <w:t xml:space="preserve"> est un trust d'intérêt de long terme (</w:t>
      </w:r>
      <w:r>
        <w:rPr>
          <w:i/>
        </w:rPr>
        <w:t xml:space="preserve">Long-Term Benefit Trust</w:t>
      </w:r>
      <w:r>
        <w:t xml:space="preserve">) qui détient une action de préférence (« golden share ») dans chaque entité, lui conférant le contrôle de la mission, indépendamment du capital. Trois verrous : </w:t>
      </w:r>
      <w:r>
        <w:rPr>
          <w:b/>
        </w:rPr>
        <w:t xml:space="preserve">(a) mission-lock</w:t>
      </w:r>
      <w:r>
        <w:t xml:space="preserve"> — impossibilité statutaire de pivoter hors de la raison d'être, même sous pression d'investisseurs ; </w:t>
      </w:r>
      <w:r>
        <w:rPr>
          <w:b/>
        </w:rPr>
        <w:t xml:space="preserve">(b) le Comité des Portes</w:t>
      </w:r>
      <w:r>
        <w:t xml:space="preserve"> a autorité corporative pour </w:t>
      </w:r>
      <w:r>
        <w:rPr>
          <w:i/>
        </w:rPr>
        <w:t xml:space="preserve">suspendre le déploiement de capital</w:t>
      </w:r>
      <w:r>
        <w:t xml:space="preserve"> tant qu'une porte (G0/G1/G2) n'est pas franchie ; </w:t>
      </w:r>
      <w:r>
        <w:rPr>
          <w:b/>
        </w:rPr>
        <w:t xml:space="preserve">(c) dotation protégée</w:t>
      </w:r>
      <w:r>
        <w:t xml:space="preserve"> — la sécurité est financièrement portante, non caritative.</w:t>
      </w:r>
    </w:p>
    <w:p>
      <w:pPr>
        <w:spacing w:line="240" w:lineRule="auto" w:before="160" w:after="80"/>
      </w:pPr>
      <w:r>
        <w:rPr>
          <w:sz w:val="26"/>
          <w:b/>
        </w:rPr>
        <w:t xml:space="preserve">5. Flux de capital &amp; de valeur</w:t>
      </w:r>
    </w:p>
    <w:p>
      <w:pPr>
        <w:spacing w:line="480" w:lineRule="auto" w:before="0" w:after="120"/>
        <w:jc w:val="both"/>
      </w:pPr>
      <w:r>
        <w:t xml:space="preserve">ANCRE irrigue SEXTANT et CARÈNE par tranches conditionnées aux portes. La valeur produite (métrologie en abonnement, assurance récurrente via AMER, licences d'infrastructure CARÈNE) finance les opérations et abonde la dotation. AMER perçoit des honoraires récurrents en restant </w:t>
      </w:r>
      <w:r>
        <w:rPr>
          <w:i/>
        </w:rPr>
        <w:t xml:space="preserve">indépendante</w:t>
      </w:r>
      <w:r>
        <w:t xml:space="preserve"> de la chaîne de production qu'elle audite. La capacité frontière, monétisée tardivement et avec prudence, n'est jamais le seul moteur économique.</w:t>
      </w:r>
    </w:p>
    <w:p>
      <w:pPr>
        <w:pageBreakBefore/>
        <w:spacing w:line="240" w:lineRule="auto" w:before="240" w:after="120"/>
        <w:pBdr>
          <w:bottom w:val="single" w:sz="8" w:space="2" w:color="000000"/>
        </w:pBdr>
      </w:pPr>
      <w:r>
        <w:rPr>
          <w:sz w:val="30"/>
          <w:b/>
        </w:rPr>
        <w:t xml:space="preserve">Partie II — SEXTANT, l'entreprise</w:t>
      </w:r>
    </w:p>
    <w:p>
      <w:pPr>
        <w:spacing w:line="240" w:lineRule="auto" w:before="160" w:after="80"/>
      </w:pPr>
      <w:r>
        <w:rPr>
          <w:sz w:val="26"/>
          <w:b/>
        </w:rPr>
        <w:t xml:space="preserve">6. Identité, forme juridique, raison d'être</w:t>
      </w:r>
    </w:p>
    <w:p>
      <w:pPr>
        <w:spacing w:line="480" w:lineRule="auto" w:before="0" w:after="120"/>
        <w:jc w:val="both"/>
      </w:pPr>
      <w:r>
        <w:rPr>
          <w:b/>
        </w:rPr>
        <w:t xml:space="preserve">SEXTANT</w:t>
      </w:r>
      <w:r>
        <w:t xml:space="preserve"> — société à mission (équivalent </w:t>
      </w:r>
      <w:r>
        <w:rPr>
          <w:i/>
        </w:rPr>
        <w:t xml:space="preserve">Public Benefit Corporation</w:t>
      </w:r>
      <w:r>
        <w:t xml:space="preserve">), contrôlée par l'Amirauté SYNTHEX via golden share. </w:t>
      </w:r>
      <w:r>
        <w:rPr>
          <w:b/>
        </w:rPr>
        <w:t xml:space="preserve">Raison d'être statutaire</w:t>
      </w:r>
      <w:r>
        <w:t xml:space="preserve"> : « mesurer où en est l'intelligence artificielle, prévoir où elle va, et n'augmenter sa capacité qu'au rythme où nous savons la mesurer et la gouverner. » Rendements potentiellement plafonnés (capped-profit) au-delà d'un seuil, le surplus revenant à la dotation.</w:t>
      </w:r>
    </w:p>
    <w:p>
      <w:pPr>
        <w:spacing w:line="240" w:lineRule="auto" w:before="160" w:after="80"/>
      </w:pPr>
      <w:r>
        <w:rPr>
          <w:sz w:val="26"/>
          <w:b/>
        </w:rPr>
        <w:t xml:space="preserve">7. Thèse économique — trois idées reçues dépassées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shd w:val="clear" w:fill="E8E8E8"/>
          </w:tcPr>
          <w:p>
            <w:pPr>
              <w:spacing w:line="240" w:lineRule="auto" w:after="20"/>
            </w:pPr>
            <w:r>
              <w:rPr>
                <w:sz w:val="22"/>
                <w:b/>
              </w:rPr>
              <w:t xml:space="preserve">Idée reçue (business de l'IA)</w:t>
            </w:r>
          </w:p>
        </w:tc>
        <w:tc>
          <w:tcPr>
            <w:tcW w:w="4680" w:type="dxa"/>
            <w:shd w:val="clear" w:fill="E8E8E8"/>
          </w:tcPr>
          <w:p>
            <w:pPr>
              <w:spacing w:line="240" w:lineRule="auto" w:after="20"/>
            </w:pPr>
            <w:r>
              <w:rPr>
                <w:sz w:val="22"/>
                <w:b/>
              </w:rPr>
              <w:t xml:space="preserve">Thèse SEXTANT</w:t>
            </w:r>
          </w:p>
        </w:tc>
      </w:tr>
      <w:tr>
        <w:tc>
          <w:tcPr>
            <w:tcW w:w="4680" w:type="dxa"/>
          </w:tcPr>
          <w:p>
            <w:pPr>
              <w:spacing w:line="240" w:lineRule="auto" w:after="20"/>
            </w:pPr>
            <w:r>
              <w:rPr>
                <w:sz w:val="22"/>
              </w:rPr>
              <w:t xml:space="preserve">La seule voie vers l'argent, c'est gagner la course à la capacité et vendre l'accès au modèle (API).</w:t>
            </w:r>
          </w:p>
        </w:tc>
        <w:tc>
          <w:tcPr>
            <w:tcW w:w="4680" w:type="dxa"/>
          </w:tcPr>
          <w:p>
            <w:pPr>
              <w:spacing w:line="240" w:lineRule="auto" w:after="20"/>
            </w:pPr>
            <w:r>
              <w:rPr>
                <w:sz w:val="22"/>
                <w:b/>
              </w:rPr>
              <w:t xml:space="preserve">On vend la carte et l'essayeur, pas seulement la pelle.</w:t>
            </w:r>
            <w:r>
              <w:rPr>
                <w:sz w:val="22"/>
              </w:rPr>
              <w:t xml:space="preserve"> Dans une ruée vers l'or, le commerce durable est celui des cartes et des bureaux d'essai. La couche de mesure/prévision/certification devient l'infrastructure indispensable de toute l'économie qui s'adapte à l'IA — et elle génère du revenu </w:t>
            </w:r>
            <w:r>
              <w:rPr>
                <w:sz w:val="22"/>
                <w:i/>
              </w:rPr>
              <w:t xml:space="preserve">indépendamment</w:t>
            </w:r>
            <w:r>
              <w:rPr>
                <w:sz w:val="22"/>
              </w:rPr>
              <w:t xml:space="preserve"> de qui gagne la course.</w:t>
            </w:r>
          </w:p>
        </w:tc>
      </w:tr>
      <w:tr>
        <w:tc>
          <w:tcPr>
            <w:tcW w:w="4680" w:type="dxa"/>
          </w:tcPr>
          <w:p>
            <w:pPr>
              <w:spacing w:line="240" w:lineRule="auto" w:after="20"/>
            </w:pPr>
            <w:r>
              <w:rPr>
                <w:sz w:val="22"/>
              </w:rPr>
              <w:t xml:space="preserve">Lever un méga-tour et brûler le capital en compute, sur la foi du scaling.</w:t>
            </w:r>
          </w:p>
        </w:tc>
        <w:tc>
          <w:tcPr>
            <w:tcW w:w="4680" w:type="dxa"/>
          </w:tcPr>
          <w:p>
            <w:pPr>
              <w:spacing w:line="240" w:lineRule="auto" w:after="20"/>
            </w:pPr>
            <w:r>
              <w:rPr>
                <w:sz w:val="22"/>
                <w:b/>
              </w:rPr>
              <w:t xml:space="preserve">Capital conditionné aux portes.</w:t>
            </w:r>
            <w:r>
              <w:rPr>
                <w:sz w:val="22"/>
              </w:rPr>
              <w:t xml:space="preserve"> Les tranches se débloquent en franchissant des portes falsifiables (G0/G1/G2). Les investisseurs souscrivent à une épistémè, pas à un récit. Une part de chaque tour abonde une dotation de sécurité protégée par la mission-lock.</w:t>
            </w:r>
          </w:p>
        </w:tc>
      </w:tr>
      <w:tr>
        <w:tc>
          <w:tcPr>
            <w:tcW w:w="4680" w:type="dxa"/>
          </w:tcPr>
          <w:p>
            <w:pPr>
              <w:spacing w:line="240" w:lineRule="auto" w:after="20"/>
            </w:pPr>
            <w:r>
              <w:rPr>
                <w:sz w:val="22"/>
              </w:rPr>
              <w:t xml:space="preserve">La sécurité est un coût, un département, une œuvre.</w:t>
            </w:r>
          </w:p>
        </w:tc>
        <w:tc>
          <w:tcPr>
            <w:tcW w:w="4680" w:type="dxa"/>
          </w:tcPr>
          <w:p>
            <w:pPr>
              <w:spacing w:line="240" w:lineRule="auto" w:after="20"/>
            </w:pPr>
            <w:r>
              <w:rPr>
                <w:sz w:val="22"/>
                <w:b/>
              </w:rPr>
              <w:t xml:space="preserve">L'assurance est un moat.</w:t>
            </w:r>
            <w:r>
              <w:rPr>
                <w:sz w:val="22"/>
              </w:rPr>
              <w:t xml:space="preserve"> AMER vise la position d'auditeur/certificateur de référence de l'économie IA (la « notation » de l'IA) : revenu récurrent, fondé sur la confiance et l'indépendance structurelle.</w:t>
            </w:r>
          </w:p>
        </w:tc>
      </w:tr>
    </w:tbl>
    <w:p>
      <w:pPr>
        <w:spacing w:after="0"/>
      </w:pPr>
    </w:p>
    <w:p>
      <w:pPr>
        <w:spacing w:line="240" w:lineRule="auto" w:before="160" w:after="80"/>
      </w:pPr>
      <w:r>
        <w:rPr>
          <w:sz w:val="26"/>
          <w:b/>
        </w:rPr>
        <w:t xml:space="preserve">8. Modèle économique — lignes de revenus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c>
          <w:tcPr>
            <w:tcW w:w="2340" w:type="dxa"/>
            <w:shd w:val="clear" w:fill="E8E8E8"/>
          </w:tcPr>
          <w:p>
            <w:pPr>
              <w:spacing w:line="240" w:lineRule="auto" w:after="20"/>
            </w:pPr>
            <w:r>
              <w:rPr>
                <w:sz w:val="22"/>
                <w:b/>
              </w:rPr>
              <w:t xml:space="preserve">Ligne</w:t>
            </w:r>
          </w:p>
        </w:tc>
        <w:tc>
          <w:tcPr>
            <w:tcW w:w="2340" w:type="dxa"/>
            <w:shd w:val="clear" w:fill="E8E8E8"/>
          </w:tcPr>
          <w:p>
            <w:pPr>
              <w:spacing w:line="240" w:lineRule="auto" w:after="20"/>
            </w:pPr>
            <w:r>
              <w:rPr>
                <w:sz w:val="22"/>
                <w:b/>
              </w:rPr>
              <w:t xml:space="preserve">Description</w:t>
            </w:r>
          </w:p>
        </w:tc>
        <w:tc>
          <w:tcPr>
            <w:tcW w:w="2340" w:type="dxa"/>
            <w:shd w:val="clear" w:fill="E8E8E8"/>
          </w:tcPr>
          <w:p>
            <w:pPr>
              <w:spacing w:line="240" w:lineRule="auto" w:after="20"/>
            </w:pPr>
            <w:r>
              <w:rPr>
                <w:sz w:val="22"/>
                <w:b/>
              </w:rPr>
              <w:t xml:space="preserve">Clients</w:t>
            </w:r>
          </w:p>
        </w:tc>
        <w:tc>
          <w:tcPr>
            <w:tcW w:w="2340" w:type="dxa"/>
            <w:shd w:val="clear" w:fill="E8E8E8"/>
          </w:tcPr>
          <w:p>
            <w:pPr>
              <w:spacing w:line="240" w:lineRule="auto" w:after="20"/>
            </w:pPr>
            <w:r>
              <w:rPr>
                <w:sz w:val="22"/>
                <w:b/>
              </w:rPr>
              <w:t xml:space="preserve">Type</w:t>
            </w:r>
          </w:p>
        </w:tc>
      </w:tr>
      <w:tr>
        <w:tc>
          <w:tcPr>
            <w:tcW w:w="2340" w:type="dxa"/>
          </w:tcPr>
          <w:p>
            <w:pPr>
              <w:spacing w:line="240" w:lineRule="auto" w:after="20"/>
            </w:pPr>
            <w:r>
              <w:rPr>
                <w:sz w:val="22"/>
                <w:b/>
              </w:rPr>
              <w:t xml:space="preserve">SEXTANT Intelligence</w:t>
            </w:r>
          </w:p>
        </w:tc>
        <w:tc>
          <w:tcPr>
            <w:tcW w:w="2340" w:type="dxa"/>
          </w:tcPr>
          <w:p>
            <w:pPr>
              <w:spacing w:line="240" w:lineRule="auto" w:after="20"/>
            </w:pPr>
            <w:r>
              <w:rPr>
                <w:sz w:val="22"/>
              </w:rPr>
              <w:t xml:space="preserve">« Le Bloomberg du progrès IA » : cartographie des capacités, prévisions calibrées, tableaux de bord, API.</w:t>
            </w:r>
          </w:p>
        </w:tc>
        <w:tc>
          <w:tcPr>
            <w:tcW w:w="2340" w:type="dxa"/>
          </w:tcPr>
          <w:p>
            <w:pPr>
              <w:spacing w:line="240" w:lineRule="auto" w:after="20"/>
            </w:pPr>
            <w:r>
              <w:rPr>
                <w:sz w:val="22"/>
              </w:rPr>
              <w:t xml:space="preserve">Investisseurs, assureurs, entreprises, États.</w:t>
            </w:r>
          </w:p>
        </w:tc>
        <w:tc>
          <w:tcPr>
            <w:tcW w:w="2340" w:type="dxa"/>
          </w:tcPr>
          <w:p>
            <w:pPr>
              <w:spacing w:line="240" w:lineRule="auto" w:after="20"/>
            </w:pPr>
            <w:r>
              <w:rPr>
                <w:sz w:val="22"/>
              </w:rPr>
              <w:t xml:space="preserve">Abonnement récurrent.</w:t>
            </w:r>
          </w:p>
        </w:tc>
      </w:tr>
      <w:tr>
        <w:tc>
          <w:tcPr>
            <w:tcW w:w="2340" w:type="dxa"/>
          </w:tcPr>
          <w:p>
            <w:pPr>
              <w:spacing w:line="240" w:lineRule="auto" w:after="20"/>
            </w:pPr>
            <w:r>
              <w:rPr>
                <w:sz w:val="22"/>
                <w:b/>
              </w:rPr>
              <w:t xml:space="preserve">Évaluation &amp; Assurance</w:t>
            </w:r>
            <w:r>
              <w:rPr>
                <w:sz w:val="22"/>
              </w:rPr>
              <w:t xml:space="preserve"> (avec AMER)</w:t>
            </w:r>
          </w:p>
        </w:tc>
        <w:tc>
          <w:tcPr>
            <w:tcW w:w="2340" w:type="dxa"/>
          </w:tcPr>
          <w:p>
            <w:pPr>
              <w:spacing w:line="240" w:lineRule="auto" w:after="20"/>
            </w:pPr>
            <w:r>
              <w:rPr>
                <w:sz w:val="22"/>
              </w:rPr>
              <w:t xml:space="preserve">Benchmarking super-expert, audits ISO 42001+, red-team-as-a-service.</w:t>
            </w:r>
          </w:p>
        </w:tc>
        <w:tc>
          <w:tcPr>
            <w:tcW w:w="2340" w:type="dxa"/>
          </w:tcPr>
          <w:p>
            <w:pPr>
              <w:spacing w:line="240" w:lineRule="auto" w:after="20"/>
            </w:pPr>
            <w:r>
              <w:rPr>
                <w:sz w:val="22"/>
              </w:rPr>
              <w:t xml:space="preserve">Entreprises, régulateurs.</w:t>
            </w:r>
          </w:p>
        </w:tc>
        <w:tc>
          <w:tcPr>
            <w:tcW w:w="2340" w:type="dxa"/>
          </w:tcPr>
          <w:p>
            <w:pPr>
              <w:spacing w:line="240" w:lineRule="auto" w:after="20"/>
            </w:pPr>
            <w:r>
              <w:rPr>
                <w:sz w:val="22"/>
              </w:rPr>
              <w:t xml:space="preserve">Récurrent + projet.</w:t>
            </w:r>
          </w:p>
        </w:tc>
      </w:tr>
      <w:tr>
        <w:tc>
          <w:tcPr>
            <w:tcW w:w="2340" w:type="dxa"/>
          </w:tcPr>
          <w:p>
            <w:pPr>
              <w:spacing w:line="240" w:lineRule="auto" w:after="20"/>
            </w:pPr>
            <w:r>
              <w:rPr>
                <w:sz w:val="22"/>
                <w:b/>
              </w:rPr>
              <w:t xml:space="preserve">Plateforme d'Expérience</w:t>
            </w:r>
            <w:r>
              <w:rPr>
                <w:sz w:val="22"/>
              </w:rPr>
              <w:t xml:space="preserve"> (CARÈNE)</w:t>
            </w:r>
          </w:p>
        </w:tc>
        <w:tc>
          <w:tcPr>
            <w:tcW w:w="2340" w:type="dxa"/>
          </w:tcPr>
          <w:p>
            <w:pPr>
              <w:spacing w:line="240" w:lineRule="auto" w:after="20"/>
            </w:pPr>
            <w:r>
              <w:rPr>
                <w:sz w:val="22"/>
              </w:rPr>
              <w:t xml:space="preserve">Expérimentation automatisée et sim-to-real licenciées (R&amp;D accélérée).</w:t>
            </w:r>
          </w:p>
        </w:tc>
        <w:tc>
          <w:tcPr>
            <w:tcW w:w="2340" w:type="dxa"/>
          </w:tcPr>
          <w:p>
            <w:pPr>
              <w:spacing w:line="240" w:lineRule="auto" w:after="20"/>
            </w:pPr>
            <w:r>
              <w:rPr>
                <w:sz w:val="22"/>
              </w:rPr>
              <w:t xml:space="preserve">Pharma, matériaux, robotique, laboratoires.</w:t>
            </w:r>
          </w:p>
        </w:tc>
        <w:tc>
          <w:tcPr>
            <w:tcW w:w="2340" w:type="dxa"/>
          </w:tcPr>
          <w:p>
            <w:pPr>
              <w:spacing w:line="240" w:lineRule="auto" w:after="20"/>
            </w:pPr>
            <w:r>
              <w:rPr>
                <w:sz w:val="22"/>
              </w:rPr>
              <w:t xml:space="preserve">Licence + usage.</w:t>
            </w:r>
          </w:p>
        </w:tc>
      </w:tr>
      <w:tr>
        <w:tc>
          <w:tcPr>
            <w:tcW w:w="2340" w:type="dxa"/>
          </w:tcPr>
          <w:p>
            <w:pPr>
              <w:spacing w:line="240" w:lineRule="auto" w:after="20"/>
            </w:pPr>
            <w:r>
              <w:rPr>
                <w:sz w:val="22"/>
                <w:b/>
              </w:rPr>
              <w:t xml:space="preserve">Capacité frontière</w:t>
            </w:r>
          </w:p>
        </w:tc>
        <w:tc>
          <w:tcPr>
            <w:tcW w:w="2340" w:type="dxa"/>
          </w:tcPr>
          <w:p>
            <w:pPr>
              <w:spacing w:line="240" w:lineRule="auto" w:after="20"/>
            </w:pPr>
            <w:r>
              <w:rPr>
                <w:sz w:val="22"/>
              </w:rPr>
              <w:t xml:space="preserve">Accès licencié, prudent (« publier la carte, garder le moteur »).</w:t>
            </w:r>
          </w:p>
        </w:tc>
        <w:tc>
          <w:tcPr>
            <w:tcW w:w="2340" w:type="dxa"/>
          </w:tcPr>
          <w:p>
            <w:pPr>
              <w:spacing w:line="240" w:lineRule="auto" w:after="20"/>
            </w:pPr>
            <w:r>
              <w:rPr>
                <w:sz w:val="22"/>
              </w:rPr>
              <w:t xml:space="preserve">Partenaires sélectionnés.</w:t>
            </w:r>
          </w:p>
        </w:tc>
        <w:tc>
          <w:tcPr>
            <w:tcW w:w="2340" w:type="dxa"/>
          </w:tcPr>
          <w:p>
            <w:pPr>
              <w:spacing w:line="240" w:lineRule="auto" w:after="20"/>
            </w:pPr>
            <w:r>
              <w:rPr>
                <w:sz w:val="22"/>
              </w:rPr>
              <w:t xml:space="preserve">Licence (tardif).</w:t>
            </w:r>
          </w:p>
        </w:tc>
      </w:tr>
      <w:tr>
        <w:tc>
          <w:tcPr>
            <w:tcW w:w="2340" w:type="dxa"/>
          </w:tcPr>
          <w:p>
            <w:pPr>
              <w:spacing w:line="240" w:lineRule="auto" w:after="20"/>
            </w:pPr>
            <w:r>
              <w:rPr>
                <w:sz w:val="22"/>
                <w:b/>
              </w:rPr>
              <w:t xml:space="preserve">Gouvernance d'agents</w:t>
            </w:r>
          </w:p>
        </w:tc>
        <w:tc>
          <w:tcPr>
            <w:tcW w:w="2340" w:type="dxa"/>
          </w:tcPr>
          <w:p>
            <w:pPr>
              <w:spacing w:line="240" w:lineRule="auto" w:after="20"/>
            </w:pPr>
            <w:r>
              <w:rPr>
                <w:sz w:val="22"/>
              </w:rPr>
              <w:t xml:space="preserve">Constitution + outillage pour économies d'agents gouvernées.</w:t>
            </w:r>
          </w:p>
        </w:tc>
        <w:tc>
          <w:tcPr>
            <w:tcW w:w="2340" w:type="dxa"/>
          </w:tcPr>
          <w:p>
            <w:pPr>
              <w:spacing w:line="240" w:lineRule="auto" w:after="20"/>
            </w:pPr>
            <w:r>
              <w:rPr>
                <w:sz w:val="22"/>
              </w:rPr>
              <w:t xml:space="preserve">Entreprises déployant des collectifs.</w:t>
            </w:r>
          </w:p>
        </w:tc>
        <w:tc>
          <w:tcPr>
            <w:tcW w:w="2340" w:type="dxa"/>
          </w:tcPr>
          <w:p>
            <w:pPr>
              <w:spacing w:line="240" w:lineRule="auto" w:after="20"/>
            </w:pPr>
            <w:r>
              <w:rPr>
                <w:sz w:val="22"/>
              </w:rPr>
              <w:t xml:space="preserve">Licence (P2).</w:t>
            </w:r>
          </w:p>
        </w:tc>
      </w:tr>
    </w:tbl>
    <w:p>
      <w:pPr>
        <w:spacing w:after="0"/>
      </w:pPr>
    </w:p>
    <w:p>
      <w:pPr>
        <w:spacing w:line="240" w:lineRule="auto" w:before="160" w:after="80"/>
      </w:pPr>
      <w:r>
        <w:rPr>
          <w:sz w:val="26"/>
          <w:b/>
        </w:rPr>
        <w:t xml:space="preserve">9. Financement conditionné aux portes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2"/>
        <w:gridCol w:w="1872"/>
        <w:gridCol w:w="1872"/>
        <w:gridCol w:w="1872"/>
        <w:gridCol w:w="1872"/>
      </w:tblGrid>
      <w:tr>
        <w:tc>
          <w:tcPr>
            <w:tcW w:w="1872" w:type="dxa"/>
            <w:shd w:val="clear" w:fill="E8E8E8"/>
          </w:tcPr>
          <w:p>
            <w:pPr>
              <w:spacing w:line="240" w:lineRule="auto" w:after="20"/>
            </w:pPr>
            <w:r>
              <w:rPr>
                <w:sz w:val="22"/>
                <w:b/>
              </w:rPr>
              <w:t xml:space="preserve">Tour</w:t>
            </w:r>
          </w:p>
        </w:tc>
        <w:tc>
          <w:tcPr>
            <w:tcW w:w="1872" w:type="dxa"/>
            <w:shd w:val="clear" w:fill="E8E8E8"/>
          </w:tcPr>
          <w:p>
            <w:pPr>
              <w:spacing w:line="240" w:lineRule="auto" w:after="20"/>
            </w:pPr>
            <w:r>
              <w:rPr>
                <w:sz w:val="22"/>
                <w:b/>
              </w:rPr>
              <w:t xml:space="preserve">Déclencheur</w:t>
            </w:r>
          </w:p>
        </w:tc>
        <w:tc>
          <w:tcPr>
            <w:tcW w:w="1872" w:type="dxa"/>
            <w:shd w:val="clear" w:fill="E8E8E8"/>
          </w:tcPr>
          <w:p>
            <w:pPr>
              <w:spacing w:line="240" w:lineRule="auto" w:after="20"/>
            </w:pPr>
            <w:r>
              <w:rPr>
                <w:sz w:val="22"/>
                <w:b/>
              </w:rPr>
              <w:t xml:space="preserve">Ordre de grandeur</w:t>
            </w:r>
          </w:p>
        </w:tc>
        <w:tc>
          <w:tcPr>
            <w:tcW w:w="1872" w:type="dxa"/>
            <w:shd w:val="clear" w:fill="E8E8E8"/>
          </w:tcPr>
          <w:p>
            <w:pPr>
              <w:spacing w:line="240" w:lineRule="auto" w:after="20"/>
            </w:pPr>
            <w:r>
              <w:rPr>
                <w:sz w:val="22"/>
                <w:b/>
              </w:rPr>
              <w:t xml:space="preserve">Usage</w:t>
            </w:r>
          </w:p>
        </w:tc>
        <w:tc>
          <w:tcPr>
            <w:tcW w:w="1872" w:type="dxa"/>
            <w:shd w:val="clear" w:fill="E8E8E8"/>
          </w:tcPr>
          <w:p>
            <w:pPr>
              <w:spacing w:line="240" w:lineRule="auto" w:after="20"/>
            </w:pPr>
            <w:r>
              <w:rPr>
                <w:sz w:val="22"/>
                <w:b/>
              </w:rPr>
              <w:t xml:space="preserve">Effectif</w:t>
            </w:r>
          </w:p>
        </w:tc>
      </w:tr>
      <w:tr>
        <w:tc>
          <w:tcPr>
            <w:tcW w:w="1872" w:type="dxa"/>
          </w:tcPr>
          <w:p>
            <w:pPr>
              <w:spacing w:line="240" w:lineRule="auto" w:after="20"/>
            </w:pPr>
            <w:r>
              <w:rPr>
                <w:sz w:val="22"/>
              </w:rPr>
              <w:t xml:space="preserve">Amorçage</w:t>
            </w:r>
          </w:p>
        </w:tc>
        <w:tc>
          <w:tcPr>
            <w:tcW w:w="1872" w:type="dxa"/>
          </w:tcPr>
          <w:p>
            <w:pPr>
              <w:spacing w:line="240" w:lineRule="auto" w:after="20"/>
            </w:pPr>
            <w:r>
              <w:rPr>
                <w:sz w:val="22"/>
              </w:rPr>
              <w:t xml:space="preserve">pré-G0</w:t>
            </w:r>
          </w:p>
        </w:tc>
        <w:tc>
          <w:tcPr>
            <w:tcW w:w="1872" w:type="dxa"/>
          </w:tcPr>
          <w:p>
            <w:pPr>
              <w:spacing w:line="240" w:lineRule="auto" w:after="20"/>
            </w:pPr>
            <w:r>
              <w:rPr>
                <w:sz w:val="22"/>
              </w:rPr>
              <w:t xml:space="preserve">~15 M€</w:t>
            </w:r>
          </w:p>
        </w:tc>
        <w:tc>
          <w:tcPr>
            <w:tcW w:w="1872" w:type="dxa"/>
          </w:tcPr>
          <w:p>
            <w:pPr>
              <w:spacing w:line="240" w:lineRule="auto" w:after="20"/>
            </w:pPr>
            <w:r>
              <w:rPr>
                <w:sz w:val="22"/>
              </w:rPr>
              <w:t xml:space="preserve">Instrumentation (P0) : sextant, beta de SEXTANT Intelligence.</w:t>
            </w:r>
          </w:p>
        </w:tc>
        <w:tc>
          <w:tcPr>
            <w:tcW w:w="1872" w:type="dxa"/>
          </w:tcPr>
          <w:p>
            <w:pPr>
              <w:spacing w:line="240" w:lineRule="auto" w:after="20"/>
            </w:pPr>
            <w:r>
              <w:rPr>
                <w:sz w:val="22"/>
              </w:rPr>
              <w:t xml:space="preserve">~40</w:t>
            </w:r>
          </w:p>
        </w:tc>
      </w:tr>
      <w:tr>
        <w:tc>
          <w:tcPr>
            <w:tcW w:w="1872" w:type="dxa"/>
          </w:tcPr>
          <w:p>
            <w:pPr>
              <w:spacing w:line="240" w:lineRule="auto" w:after="20"/>
            </w:pPr>
            <w:r>
              <w:rPr>
                <w:sz w:val="22"/>
              </w:rPr>
              <w:t xml:space="preserve">Série A</w:t>
            </w:r>
          </w:p>
        </w:tc>
        <w:tc>
          <w:tcPr>
            <w:tcW w:w="1872" w:type="dxa"/>
          </w:tcPr>
          <w:p>
            <w:pPr>
              <w:spacing w:line="240" w:lineRule="auto" w:after="20"/>
            </w:pPr>
            <w:r>
              <w:rPr>
                <w:sz w:val="22"/>
              </w:rPr>
              <w:t xml:space="preserve">G0 franchie</w:t>
            </w:r>
          </w:p>
        </w:tc>
        <w:tc>
          <w:tcPr>
            <w:tcW w:w="1872" w:type="dxa"/>
          </w:tcPr>
          <w:p>
            <w:pPr>
              <w:spacing w:line="240" w:lineRule="auto" w:after="20"/>
            </w:pPr>
            <w:r>
              <w:rPr>
                <w:sz w:val="22"/>
              </w:rPr>
              <w:t xml:space="preserve">~120 M€</w:t>
            </w:r>
          </w:p>
        </w:tc>
        <w:tc>
          <w:tcPr>
            <w:tcW w:w="1872" w:type="dxa"/>
          </w:tcPr>
          <w:p>
            <w:pPr>
              <w:spacing w:line="240" w:lineRule="auto" w:after="20"/>
            </w:pPr>
            <w:r>
              <w:rPr>
                <w:sz w:val="22"/>
              </w:rPr>
              <w:t xml:space="preserve">Mise à l'échelle de la métrologie + usine à expériences (P1).</w:t>
            </w:r>
          </w:p>
        </w:tc>
        <w:tc>
          <w:tcPr>
            <w:tcW w:w="1872" w:type="dxa"/>
          </w:tcPr>
          <w:p>
            <w:pPr>
              <w:spacing w:line="240" w:lineRule="auto" w:after="20"/>
            </w:pPr>
            <w:r>
              <w:rPr>
                <w:sz w:val="22"/>
              </w:rPr>
              <w:t xml:space="preserve">~90</w:t>
            </w:r>
          </w:p>
        </w:tc>
      </w:tr>
      <w:tr>
        <w:tc>
          <w:tcPr>
            <w:tcW w:w="1872" w:type="dxa"/>
          </w:tcPr>
          <w:p>
            <w:pPr>
              <w:spacing w:line="240" w:lineRule="auto" w:after="20"/>
            </w:pPr>
            <w:r>
              <w:rPr>
                <w:sz w:val="22"/>
              </w:rPr>
              <w:t xml:space="preserve">Série B</w:t>
            </w:r>
          </w:p>
        </w:tc>
        <w:tc>
          <w:tcPr>
            <w:tcW w:w="1872" w:type="dxa"/>
          </w:tcPr>
          <w:p>
            <w:pPr>
              <w:spacing w:line="240" w:lineRule="auto" w:after="20"/>
            </w:pPr>
            <w:r>
              <w:rPr>
                <w:sz w:val="22"/>
              </w:rPr>
              <w:t xml:space="preserve">G1 franchie</w:t>
            </w:r>
          </w:p>
        </w:tc>
        <w:tc>
          <w:tcPr>
            <w:tcW w:w="1872" w:type="dxa"/>
          </w:tcPr>
          <w:p>
            <w:pPr>
              <w:spacing w:line="240" w:lineRule="auto" w:after="20"/>
            </w:pPr>
            <w:r>
              <w:rPr>
                <w:sz w:val="22"/>
              </w:rPr>
              <w:t xml:space="preserve">~0,6–1 Md€</w:t>
            </w:r>
          </w:p>
        </w:tc>
        <w:tc>
          <w:tcPr>
            <w:tcW w:w="1872" w:type="dxa"/>
          </w:tcPr>
          <w:p>
            <w:pPr>
              <w:spacing w:line="240" w:lineRule="auto" w:after="20"/>
            </w:pPr>
            <w:r>
              <w:rPr>
                <w:sz w:val="22"/>
              </w:rPr>
              <w:t xml:space="preserve">Collectifs gouvernés + outils de gouvernance d'agents (P2).</w:t>
            </w:r>
          </w:p>
        </w:tc>
        <w:tc>
          <w:tcPr>
            <w:tcW w:w="1872" w:type="dxa"/>
          </w:tcPr>
          <w:p>
            <w:pPr>
              <w:spacing w:line="240" w:lineRule="auto" w:after="20"/>
            </w:pPr>
            <w:r>
              <w:rPr>
                <w:sz w:val="22"/>
              </w:rPr>
              <w:t xml:space="preserve">~150</w:t>
            </w:r>
          </w:p>
        </w:tc>
      </w:tr>
    </w:tbl>
    <w:p>
      <w:pPr>
        <w:spacing w:after="0"/>
      </w:pPr>
    </w:p>
    <w:p>
      <w:pPr>
        <w:spacing w:line="480" w:lineRule="auto" w:before="0" w:after="120"/>
        <w:jc w:val="both"/>
      </w:pPr>
      <w:r>
        <w:t xml:space="preserve">Chaque tranche réserve 5–10 % à la dotation de sécurité (ANCRE), mission-locked. Les investisseurs signent le </w:t>
      </w:r>
      <w:r>
        <w:rPr>
          <w:i/>
        </w:rPr>
        <w:t xml:space="preserve">covenant des portes</w:t>
      </w:r>
      <w:r>
        <w:t xml:space="preserve"> : pas de déploiement de capital au-delà d'une porte non franchie. Choix délibérément </w:t>
      </w:r>
      <w:r>
        <w:rPr>
          <w:i/>
        </w:rPr>
        <w:t xml:space="preserve">discipliné</w:t>
      </w:r>
      <w:r>
        <w:t xml:space="preserve"> face aux méga-levées du secteur.</w:t>
      </w:r>
    </w:p>
    <w:p>
      <w:pPr>
        <w:spacing w:line="240" w:lineRule="auto" w:before="160" w:after="80"/>
      </w:pPr>
      <w:r>
        <w:rPr>
          <w:sz w:val="26"/>
          <w:b/>
        </w:rPr>
        <w:t xml:space="preserve">10. Propriété intellectuelle &amp; ouverture</w:t>
      </w:r>
    </w:p>
    <w:p>
      <w:pPr>
        <w:spacing w:line="480" w:lineRule="auto" w:before="0" w:after="120"/>
        <w:jc w:val="both"/>
      </w:pPr>
      <w:r>
        <w:t xml:space="preserve">Doctrine « publier la carte, garder le moteur » : </w:t>
      </w:r>
      <w:r>
        <w:rPr>
          <w:b/>
        </w:rPr>
        <w:t xml:space="preserve">ouverts</w:t>
      </w:r>
      <w:r>
        <w:t xml:space="preserve"> — standards et méthodes de mesure, prévisions agrégées (bien public qui réduit l'incertitude collective et installe SEXTANT comme </w:t>
      </w:r>
      <w:r>
        <w:rPr>
          <w:i/>
        </w:rPr>
        <w:t xml:space="preserve">référence du standard</w:t>
      </w:r>
      <w:r>
        <w:t xml:space="preserve">) ; </w:t>
      </w:r>
      <w:r>
        <w:rPr>
          <w:b/>
        </w:rPr>
        <w:t xml:space="preserve">propriétaires</w:t>
      </w:r>
      <w:r>
        <w:t xml:space="preserve"> — technologie d'usine à expériences (CARÈNE), capacité frontière, et l'outillage de gouvernance d'agents. La capture du standard de mesure est l'actif stratégique majeur.</w:t>
      </w:r>
    </w:p>
    <w:p>
      <w:pPr>
        <w:spacing w:line="240" w:lineRule="auto" w:before="160" w:after="80"/>
      </w:pPr>
      <w:r>
        <w:rPr>
          <w:sz w:val="26"/>
          <w:b/>
        </w:rPr>
        <w:t xml:space="preserve">11. Go-to-market &amp; segments</w:t>
      </w:r>
    </w:p>
    <w:p>
      <w:pPr>
        <w:spacing w:line="480" w:lineRule="auto" w:before="0" w:after="120"/>
        <w:jc w:val="both"/>
      </w:pPr>
      <w:r>
        <w:t xml:space="preserve">Séquence </w:t>
      </w:r>
      <w:r>
        <w:rPr>
          <w:i/>
        </w:rPr>
        <w:t xml:space="preserve">land-and-expand</w:t>
      </w:r>
      <w:r>
        <w:t xml:space="preserve"> : on entre par les segments qui paient </w:t>
      </w:r>
      <w:r>
        <w:rPr>
          <w:b/>
        </w:rPr>
        <w:t xml:space="preserve">la carte dès aujourd'hui</w:t>
      </w:r>
      <w:r>
        <w:t xml:space="preserve"> — assureurs/réassureurs (tarifer le risque IA), investisseurs (allouer le capital), régulateurs (superviser) — puis on étend au risque d'entreprise, puis aux États. La plateforme d'expérience (CARÈNE) ouvre en parallèle le marché de la R&amp;D scientifique accélérée.</w:t>
      </w:r>
    </w:p>
    <w:p>
      <w:pPr>
        <w:spacing w:line="240" w:lineRule="auto" w:before="160" w:after="80"/>
      </w:pPr>
      <w:r>
        <w:rPr>
          <w:sz w:val="26"/>
          <w:b/>
        </w:rPr>
        <w:t xml:space="preserve">12. Organisation d'entreprise</w:t>
      </w:r>
    </w:p>
    <w:p>
      <w:pPr>
        <w:spacing w:line="480" w:lineRule="auto" w:before="0" w:after="120"/>
        <w:jc w:val="both"/>
      </w:pPr>
      <w:r>
        <w:t xml:space="preserve">Les fonctions d'entreprise se superposent à l'organisation de recherche (les huit divisions du Programme), sous l'autorité de l'Amirauté et du Comité des Portes.</w:t>
      </w:r>
    </w:p>
    <w:p>
      <w:pPr>
        <w:spacing w:line="240" w:lineRule="auto" w:after="120"/>
      </w:pPr>
      <w:r>
        <w:br/>
      </w:r>
      <w:r>
        <w:rPr>
          <w:rFonts w:ascii="Courier New" w:hAnsi="Courier New"/>
          <w:sz w:val="18"/>
        </w:rPr>
        <w:t xml:space="preserve">   L'AMIRAUTE (SYNTHEX Trust) -- mission-lock, Constitution</w:t>
      </w:r>
      <w:r>
        <w:br/>
      </w:r>
      <w:r>
        <w:rPr>
          <w:rFonts w:ascii="Courier New" w:hAnsi="Courier New"/>
          <w:sz w:val="18"/>
        </w:rPr>
        <w:t xml:space="preserve">     |</w:t>
      </w:r>
      <w:r>
        <w:br/>
      </w:r>
      <w:r>
        <w:rPr>
          <w:rFonts w:ascii="Courier New" w:hAnsi="Courier New"/>
          <w:sz w:val="18"/>
        </w:rPr>
        <w:t xml:space="preserve">     +-- Conseil d'administration SEXTANT (golden share Amiraute)</w:t>
      </w:r>
      <w:r>
        <w:br/>
      </w:r>
      <w:r>
        <w:rPr>
          <w:rFonts w:ascii="Courier New" w:hAnsi="Courier New"/>
          <w:sz w:val="18"/>
        </w:rPr>
        <w:t xml:space="preserve">           |</w:t>
      </w:r>
      <w:r>
        <w:br/>
      </w:r>
      <w:r>
        <w:rPr>
          <w:rFonts w:ascii="Courier New" w:hAnsi="Courier New"/>
          <w:sz w:val="18"/>
        </w:rPr>
        <w:t xml:space="preserve">           +-- Direction generale (CEO) ----- COMITE DES PORTES (lie le capital, veto)</w:t>
      </w:r>
      <w:r>
        <w:br/>
      </w:r>
      <w:r>
        <w:rPr>
          <w:rFonts w:ascii="Courier New" w:hAnsi="Courier New"/>
          <w:sz w:val="18"/>
        </w:rPr>
        <w:t xml:space="preserve">                 |</w:t>
      </w:r>
      <w:r>
        <w:br/>
      </w:r>
      <w:r>
        <w:rPr>
          <w:rFonts w:ascii="Courier New" w:hAnsi="Courier New"/>
          <w:sz w:val="18"/>
        </w:rPr>
        <w:t xml:space="preserve">                 +-- Direction scientifique (CTO) -&gt; les 8 divisions de recherche</w:t>
      </w:r>
      <w:r>
        <w:br/>
      </w:r>
      <w:r>
        <w:rPr>
          <w:rFonts w:ascii="Courier New" w:hAnsi="Courier New"/>
          <w:sz w:val="18"/>
        </w:rPr>
        <w:t xml:space="preserve">                 +-- COO  - operations</w:t>
      </w:r>
      <w:r>
        <w:br/>
      </w:r>
      <w:r>
        <w:rPr>
          <w:rFonts w:ascii="Courier New" w:hAnsi="Courier New"/>
          <w:sz w:val="18"/>
        </w:rPr>
        <w:t xml:space="preserve">                 +-- CFO  - finance &amp; relation ANCRE</w:t>
      </w:r>
      <w:r>
        <w:br/>
      </w:r>
      <w:r>
        <w:rPr>
          <w:rFonts w:ascii="Courier New" w:hAnsi="Courier New"/>
          <w:sz w:val="18"/>
        </w:rPr>
        <w:t xml:space="preserve">                 +-- Direction juridique &amp; mission (societe a mission)</w:t>
      </w:r>
      <w:r>
        <w:br/>
      </w:r>
      <w:r>
        <w:rPr>
          <w:rFonts w:ascii="Courier New" w:hAnsi="Courier New"/>
          <w:sz w:val="18"/>
        </w:rPr>
        <w:t xml:space="preserve">                 +-- Direction commerciale - produit SEXTANT Intelligence</w:t>
      </w:r>
      <w:r>
        <w:br/>
      </w:r>
      <w:r>
        <w:rPr>
          <w:rFonts w:ascii="Courier New" w:hAnsi="Courier New"/>
          <w:sz w:val="18"/>
        </w:rPr>
        <w:t xml:space="preserve">                 +-- Chief Trust Officer - liaison AMER / assurance</w:t>
      </w:r>
      <w:r>
        <w:br/>
      </w:r>
      <w:r>
        <w:rPr>
          <w:rFonts w:ascii="Courier New" w:hAnsi="Courier New"/>
          <w:sz w:val="18"/>
        </w:rPr>
        <w:t xml:space="preserve">                 +-- Resp. Politiques &amp; Standards - capture du standard, regulateurs</w:t>
      </w:r>
      <w:r>
        <w:br/>
      </w:r>
    </w:p>
    <w:p>
      <w:pPr>
        <w:spacing w:line="240" w:lineRule="auto" w:before="160" w:after="80"/>
      </w:pPr>
      <w:r>
        <w:rPr>
          <w:sz w:val="26"/>
          <w:b/>
        </w:rPr>
        <w:t xml:space="preserve">13. Feuille de route d'entreprise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2"/>
        <w:gridCol w:w="1872"/>
        <w:gridCol w:w="1872"/>
        <w:gridCol w:w="1872"/>
        <w:gridCol w:w="1872"/>
      </w:tblGrid>
      <w:tr>
        <w:tc>
          <w:tcPr>
            <w:tcW w:w="1872" w:type="dxa"/>
            <w:shd w:val="clear" w:fill="E8E8E8"/>
          </w:tcPr>
          <w:p>
            <w:pPr>
              <w:spacing w:line="240" w:lineRule="auto" w:after="20"/>
            </w:pPr>
            <w:r>
              <w:rPr>
                <w:sz w:val="22"/>
                <w:b/>
              </w:rPr>
              <w:t xml:space="preserve">Phase</w:t>
            </w:r>
          </w:p>
        </w:tc>
        <w:tc>
          <w:tcPr>
            <w:tcW w:w="1872" w:type="dxa"/>
            <w:shd w:val="clear" w:fill="E8E8E8"/>
          </w:tcPr>
          <w:p>
            <w:pPr>
              <w:spacing w:line="240" w:lineRule="auto" w:after="20"/>
            </w:pPr>
            <w:r>
              <w:rPr>
                <w:sz w:val="22"/>
                <w:b/>
              </w:rPr>
              <w:t xml:space="preserve">Porte</w:t>
            </w:r>
          </w:p>
        </w:tc>
        <w:tc>
          <w:tcPr>
            <w:tcW w:w="1872" w:type="dxa"/>
            <w:shd w:val="clear" w:fill="E8E8E8"/>
          </w:tcPr>
          <w:p>
            <w:pPr>
              <w:spacing w:line="240" w:lineRule="auto" w:after="20"/>
            </w:pPr>
            <w:r>
              <w:rPr>
                <w:sz w:val="22"/>
                <w:b/>
              </w:rPr>
              <w:t xml:space="preserve">Jalon entreprise</w:t>
            </w:r>
          </w:p>
        </w:tc>
        <w:tc>
          <w:tcPr>
            <w:tcW w:w="1872" w:type="dxa"/>
            <w:shd w:val="clear" w:fill="E8E8E8"/>
          </w:tcPr>
          <w:p>
            <w:pPr>
              <w:spacing w:line="240" w:lineRule="auto" w:after="20"/>
            </w:pPr>
            <w:r>
              <w:rPr>
                <w:sz w:val="22"/>
                <w:b/>
              </w:rPr>
              <w:t xml:space="preserve">Levée</w:t>
            </w:r>
          </w:p>
        </w:tc>
        <w:tc>
          <w:tcPr>
            <w:tcW w:w="1872" w:type="dxa"/>
            <w:shd w:val="clear" w:fill="E8E8E8"/>
          </w:tcPr>
          <w:p>
            <w:pPr>
              <w:spacing w:line="240" w:lineRule="auto" w:after="20"/>
            </w:pPr>
            <w:r>
              <w:rPr>
                <w:sz w:val="22"/>
                <w:b/>
              </w:rPr>
              <w:t xml:space="preserve">Effectif</w:t>
            </w:r>
          </w:p>
        </w:tc>
      </w:tr>
      <w:tr>
        <w:tc>
          <w:tcPr>
            <w:tcW w:w="1872" w:type="dxa"/>
          </w:tcPr>
          <w:p>
            <w:pPr>
              <w:spacing w:line="240" w:lineRule="auto" w:after="20"/>
            </w:pPr>
            <w:r>
              <w:rPr>
                <w:sz w:val="22"/>
              </w:rPr>
              <w:t xml:space="preserve">P0 — Le Sextant</w:t>
            </w:r>
          </w:p>
        </w:tc>
        <w:tc>
          <w:tcPr>
            <w:tcW w:w="1872" w:type="dxa"/>
          </w:tcPr>
          <w:p>
            <w:pPr>
              <w:spacing w:line="240" w:lineRule="auto" w:after="20"/>
            </w:pPr>
            <w:r>
              <w:rPr>
                <w:sz w:val="22"/>
              </w:rPr>
              <w:t xml:space="preserve">G0</w:t>
            </w:r>
          </w:p>
        </w:tc>
        <w:tc>
          <w:tcPr>
            <w:tcW w:w="1872" w:type="dxa"/>
          </w:tcPr>
          <w:p>
            <w:pPr>
              <w:spacing w:line="240" w:lineRule="auto" w:after="20"/>
            </w:pPr>
            <w:r>
              <w:rPr>
                <w:sz w:val="22"/>
              </w:rPr>
              <w:t xml:space="preserve">Beta de SEXTANT Intelligence ; premiers clients assurance/investisseurs.</w:t>
            </w:r>
          </w:p>
        </w:tc>
        <w:tc>
          <w:tcPr>
            <w:tcW w:w="1872" w:type="dxa"/>
          </w:tcPr>
          <w:p>
            <w:pPr>
              <w:spacing w:line="240" w:lineRule="auto" w:after="20"/>
            </w:pPr>
            <w:r>
              <w:rPr>
                <w:sz w:val="22"/>
              </w:rPr>
              <w:t xml:space="preserve">Amorçage ~15 M€</w:t>
            </w:r>
          </w:p>
        </w:tc>
        <w:tc>
          <w:tcPr>
            <w:tcW w:w="1872" w:type="dxa"/>
          </w:tcPr>
          <w:p>
            <w:pPr>
              <w:spacing w:line="240" w:lineRule="auto" w:after="20"/>
            </w:pPr>
            <w:r>
              <w:rPr>
                <w:sz w:val="22"/>
              </w:rPr>
              <w:t xml:space="preserve">40</w:t>
            </w:r>
          </w:p>
        </w:tc>
      </w:tr>
      <w:tr>
        <w:tc>
          <w:tcPr>
            <w:tcW w:w="1872" w:type="dxa"/>
          </w:tcPr>
          <w:p>
            <w:pPr>
              <w:spacing w:line="240" w:lineRule="auto" w:after="20"/>
            </w:pPr>
            <w:r>
              <w:rPr>
                <w:sz w:val="22"/>
              </w:rPr>
              <w:t xml:space="preserve">P1 — Le Pilote</w:t>
            </w:r>
          </w:p>
        </w:tc>
        <w:tc>
          <w:tcPr>
            <w:tcW w:w="1872" w:type="dxa"/>
          </w:tcPr>
          <w:p>
            <w:pPr>
              <w:spacing w:line="240" w:lineRule="auto" w:after="20"/>
            </w:pPr>
            <w:r>
              <w:rPr>
                <w:sz w:val="22"/>
              </w:rPr>
              <w:t xml:space="preserve">G1</w:t>
            </w:r>
          </w:p>
        </w:tc>
        <w:tc>
          <w:tcPr>
            <w:tcW w:w="1872" w:type="dxa"/>
          </w:tcPr>
          <w:p>
            <w:pPr>
              <w:spacing w:line="240" w:lineRule="auto" w:after="20"/>
            </w:pPr>
            <w:r>
              <w:rPr>
                <w:sz w:val="22"/>
              </w:rPr>
              <w:t xml:space="preserve">Métrologie à l'échelle ; plateforme d'expérience (CARÈNE) commercialisée ; assurance récurrente via AMER.</w:t>
            </w:r>
          </w:p>
        </w:tc>
        <w:tc>
          <w:tcPr>
            <w:tcW w:w="1872" w:type="dxa"/>
          </w:tcPr>
          <w:p>
            <w:pPr>
              <w:spacing w:line="240" w:lineRule="auto" w:after="20"/>
            </w:pPr>
            <w:r>
              <w:rPr>
                <w:sz w:val="22"/>
              </w:rPr>
              <w:t xml:space="preserve">Série A ~120 M€</w:t>
            </w:r>
          </w:p>
        </w:tc>
        <w:tc>
          <w:tcPr>
            <w:tcW w:w="1872" w:type="dxa"/>
          </w:tcPr>
          <w:p>
            <w:pPr>
              <w:spacing w:line="240" w:lineRule="auto" w:after="20"/>
            </w:pPr>
            <w:r>
              <w:rPr>
                <w:sz w:val="22"/>
              </w:rPr>
              <w:t xml:space="preserve">90</w:t>
            </w:r>
          </w:p>
        </w:tc>
      </w:tr>
      <w:tr>
        <w:tc>
          <w:tcPr>
            <w:tcW w:w="1872" w:type="dxa"/>
          </w:tcPr>
          <w:p>
            <w:pPr>
              <w:spacing w:line="240" w:lineRule="auto" w:after="20"/>
            </w:pPr>
            <w:r>
              <w:rPr>
                <w:sz w:val="22"/>
              </w:rPr>
              <w:t xml:space="preserve">P2 — La Cité</w:t>
            </w:r>
          </w:p>
        </w:tc>
        <w:tc>
          <w:tcPr>
            <w:tcW w:w="1872" w:type="dxa"/>
          </w:tcPr>
          <w:p>
            <w:pPr>
              <w:spacing w:line="240" w:lineRule="auto" w:after="20"/>
            </w:pPr>
            <w:r>
              <w:rPr>
                <w:sz w:val="22"/>
              </w:rPr>
              <w:t xml:space="preserve">G2</w:t>
            </w:r>
          </w:p>
        </w:tc>
        <w:tc>
          <w:tcPr>
            <w:tcW w:w="1872" w:type="dxa"/>
          </w:tcPr>
          <w:p>
            <w:pPr>
              <w:spacing w:line="240" w:lineRule="auto" w:after="20"/>
            </w:pPr>
            <w:r>
              <w:rPr>
                <w:sz w:val="22"/>
              </w:rPr>
              <w:t xml:space="preserve">Collectifs gouvernés ; outils de gouvernance d'agents ; revenus diversifiés, dotation abondée.</w:t>
            </w:r>
          </w:p>
        </w:tc>
        <w:tc>
          <w:tcPr>
            <w:tcW w:w="1872" w:type="dxa"/>
          </w:tcPr>
          <w:p>
            <w:pPr>
              <w:spacing w:line="240" w:lineRule="auto" w:after="20"/>
            </w:pPr>
            <w:r>
              <w:rPr>
                <w:sz w:val="22"/>
              </w:rPr>
              <w:t xml:space="preserve">Série B ~0,6–1 Md€</w:t>
            </w:r>
          </w:p>
        </w:tc>
        <w:tc>
          <w:tcPr>
            <w:tcW w:w="1872" w:type="dxa"/>
          </w:tcPr>
          <w:p>
            <w:pPr>
              <w:spacing w:line="240" w:lineRule="auto" w:after="20"/>
            </w:pPr>
            <w:r>
              <w:rPr>
                <w:sz w:val="22"/>
              </w:rPr>
              <w:t xml:space="preserve">150</w:t>
            </w:r>
          </w:p>
        </w:tc>
      </w:tr>
    </w:tbl>
    <w:p>
      <w:pPr>
        <w:spacing w:after="0"/>
      </w:pPr>
    </w:p>
    <w:p>
      <w:pPr>
        <w:spacing w:line="240" w:lineRule="auto" w:before="160" w:after="80"/>
      </w:pPr>
      <w:r>
        <w:rPr>
          <w:sz w:val="26"/>
          <w:b/>
        </w:rPr>
        <w:t xml:space="preserve">14. Risques d'entreprise &amp; atténuation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shd w:val="clear" w:fill="E8E8E8"/>
          </w:tcPr>
          <w:p>
            <w:pPr>
              <w:spacing w:line="240" w:lineRule="auto" w:after="20"/>
            </w:pPr>
            <w:r>
              <w:rPr>
                <w:sz w:val="22"/>
                <w:b/>
              </w:rPr>
              <w:t xml:space="preserve">Risque</w:t>
            </w:r>
          </w:p>
        </w:tc>
        <w:tc>
          <w:tcPr>
            <w:tcW w:w="4680" w:type="dxa"/>
            <w:shd w:val="clear" w:fill="E8E8E8"/>
          </w:tcPr>
          <w:p>
            <w:pPr>
              <w:spacing w:line="240" w:lineRule="auto" w:after="20"/>
            </w:pPr>
            <w:r>
              <w:rPr>
                <w:sz w:val="22"/>
                <w:b/>
              </w:rPr>
              <w:t xml:space="preserve">Atténuation</w:t>
            </w:r>
          </w:p>
        </w:tc>
      </w:tr>
      <w:tr>
        <w:tc>
          <w:tcPr>
            <w:tcW w:w="4680" w:type="dxa"/>
          </w:tcPr>
          <w:p>
            <w:pPr>
              <w:spacing w:line="240" w:lineRule="auto" w:after="20"/>
            </w:pPr>
            <w:r>
              <w:rPr>
                <w:sz w:val="22"/>
              </w:rPr>
              <w:t xml:space="preserve">Banalisation de la capacité (efficience ×3–6/an érode tout avantage de modèle).</w:t>
            </w:r>
          </w:p>
        </w:tc>
        <w:tc>
          <w:tcPr>
            <w:tcW w:w="4680" w:type="dxa"/>
          </w:tcPr>
          <w:p>
            <w:pPr>
              <w:spacing w:line="240" w:lineRule="auto" w:after="20"/>
            </w:pPr>
            <w:r>
              <w:rPr>
                <w:sz w:val="22"/>
              </w:rPr>
              <w:t xml:space="preserve">Le moat est la </w:t>
            </w:r>
            <w:r>
              <w:rPr>
                <w:sz w:val="22"/>
                <w:i/>
              </w:rPr>
              <w:t xml:space="preserve">carte</w:t>
            </w:r>
            <w:r>
              <w:rPr>
                <w:sz w:val="22"/>
              </w:rPr>
              <w:t xml:space="preserve"> (métrologie/standards), pas le modèle ; capture du standard.</w:t>
            </w:r>
          </w:p>
        </w:tc>
      </w:tr>
      <w:tr>
        <w:tc>
          <w:tcPr>
            <w:tcW w:w="4680" w:type="dxa"/>
          </w:tcPr>
          <w:p>
            <w:pPr>
              <w:spacing w:line="240" w:lineRule="auto" w:after="20"/>
            </w:pPr>
            <w:r>
              <w:rPr>
                <w:sz w:val="22"/>
              </w:rPr>
              <w:t xml:space="preserve">Cyclicité des marchés de capitaux.</w:t>
            </w:r>
          </w:p>
        </w:tc>
        <w:tc>
          <w:tcPr>
            <w:tcW w:w="4680" w:type="dxa"/>
          </w:tcPr>
          <w:p>
            <w:pPr>
              <w:spacing w:line="240" w:lineRule="auto" w:after="20"/>
            </w:pPr>
            <w:r>
              <w:rPr>
                <w:sz w:val="22"/>
              </w:rPr>
              <w:t xml:space="preserve">Tranches conditionnées + revenus récurrents indépendants de la course.</w:t>
            </w:r>
          </w:p>
        </w:tc>
      </w:tr>
      <w:tr>
        <w:tc>
          <w:tcPr>
            <w:tcW w:w="4680" w:type="dxa"/>
          </w:tcPr>
          <w:p>
            <w:pPr>
              <w:spacing w:line="240" w:lineRule="auto" w:after="20"/>
            </w:pPr>
            <w:r>
              <w:rPr>
                <w:sz w:val="22"/>
              </w:rPr>
              <w:t xml:space="preserve">Conflit d'indépendance (juge et partie sur l'assurance).</w:t>
            </w:r>
          </w:p>
        </w:tc>
        <w:tc>
          <w:tcPr>
            <w:tcW w:w="4680" w:type="dxa"/>
          </w:tcPr>
          <w:p>
            <w:pPr>
              <w:spacing w:line="240" w:lineRule="auto" w:after="20"/>
            </w:pPr>
            <w:r>
              <w:rPr>
                <w:sz w:val="22"/>
              </w:rPr>
              <w:t xml:space="preserve">Pare-feu structurel : AMER est une entité séparée ; SEXTANT fournit l'outillage, AMER certifie.</w:t>
            </w:r>
          </w:p>
        </w:tc>
      </w:tr>
      <w:tr>
        <w:tc>
          <w:tcPr>
            <w:tcW w:w="4680" w:type="dxa"/>
          </w:tcPr>
          <w:p>
            <w:pPr>
              <w:spacing w:line="240" w:lineRule="auto" w:after="20"/>
            </w:pPr>
            <w:r>
              <w:rPr>
                <w:sz w:val="22"/>
              </w:rPr>
              <w:t xml:space="preserve">Pénurie de talents.</w:t>
            </w:r>
          </w:p>
        </w:tc>
        <w:tc>
          <w:tcPr>
            <w:tcW w:w="4680" w:type="dxa"/>
          </w:tcPr>
          <w:p>
            <w:pPr>
              <w:spacing w:line="240" w:lineRule="auto" w:after="20"/>
            </w:pPr>
            <w:r>
              <w:rPr>
                <w:sz w:val="22"/>
              </w:rPr>
              <w:t xml:space="preserve">Pods autonomes, mission forte, calibration récompensée.</w:t>
            </w:r>
          </w:p>
        </w:tc>
      </w:tr>
      <w:tr>
        <w:tc>
          <w:tcPr>
            <w:tcW w:w="4680" w:type="dxa"/>
          </w:tcPr>
          <w:p>
            <w:pPr>
              <w:spacing w:line="240" w:lineRule="auto" w:after="20"/>
            </w:pPr>
            <w:r>
              <w:rPr>
                <w:sz w:val="22"/>
              </w:rPr>
              <w:t xml:space="preserve">Incident de sécurité.</w:t>
            </w:r>
          </w:p>
        </w:tc>
        <w:tc>
          <w:tcPr>
            <w:tcW w:w="4680" w:type="dxa"/>
          </w:tcPr>
          <w:p>
            <w:pPr>
              <w:spacing w:line="240" w:lineRule="auto" w:after="20"/>
            </w:pPr>
            <w:r>
              <w:rPr>
                <w:sz w:val="22"/>
              </w:rPr>
              <w:t xml:space="preserve">Constitution + Comité des Portes liant le capital + dotation + kill-switch (art. 12).</w:t>
            </w:r>
          </w:p>
        </w:tc>
      </w:tr>
      <w:tr>
        <w:tc>
          <w:tcPr>
            <w:tcW w:w="4680" w:type="dxa"/>
          </w:tcPr>
          <w:p>
            <w:pPr>
              <w:spacing w:line="240" w:lineRule="auto" w:after="20"/>
            </w:pPr>
            <w:r>
              <w:rPr>
                <w:sz w:val="22"/>
              </w:rPr>
              <w:t xml:space="preserve">Capture réglementaire / fragmentation.</w:t>
            </w:r>
          </w:p>
        </w:tc>
        <w:tc>
          <w:tcPr>
            <w:tcW w:w="4680" w:type="dxa"/>
          </w:tcPr>
          <w:p>
            <w:pPr>
              <w:spacing w:line="240" w:lineRule="auto" w:after="20"/>
            </w:pPr>
            <w:r>
              <w:rPr>
                <w:sz w:val="22"/>
              </w:rPr>
              <w:t xml:space="preserve">Stratégie de standards ouverts + dialogue avec les organes de gouvernance.</w:t>
            </w:r>
          </w:p>
        </w:tc>
      </w:tr>
    </w:tbl>
    <w:p>
      <w:pPr>
        <w:spacing w:after="0"/>
      </w:pPr>
    </w:p>
    <w:p>
      <w:pPr>
        <w:spacing w:line="240" w:lineRule="auto" w:before="160" w:after="80"/>
      </w:pPr>
      <w:r>
        <w:rPr>
          <w:sz w:val="26"/>
          <w:b/>
        </w:rPr>
        <w:t xml:space="preserve">15. Indicateurs d'entreprise</w:t>
      </w:r>
    </w:p>
    <w:p>
      <w:pPr>
        <w:spacing w:line="480" w:lineRule="auto" w:before="0" w:after="120"/>
        <w:jc w:val="both"/>
      </w:pPr>
      <w:r>
        <w:t xml:space="preserve">ARR de SEXTANT Intelligence ; revenus récurrents d'assurance (AMER) ; taux de franchissement des portes ; taille de la dotation de sécurité ; </w:t>
      </w:r>
      <w:r>
        <w:rPr>
          <w:b/>
        </w:rPr>
        <w:t xml:space="preserve">part de revenu hors-capacité</w:t>
      </w:r>
      <w:r>
        <w:t xml:space="preserve"> (preuve que la carte porte l'entreprise) ; rétention nette (NRR).</w:t>
      </w:r>
    </w:p>
    <w:p>
      <w:pPr>
        <w:pageBreakBefore/>
        <w:spacing w:line="240" w:lineRule="auto" w:before="240" w:after="120"/>
        <w:pBdr>
          <w:bottom w:val="single" w:sz="8" w:space="2" w:color="000000"/>
        </w:pBdr>
      </w:pPr>
      <w:r>
        <w:rPr>
          <w:sz w:val="30"/>
          <w:b/>
        </w:rPr>
        <w:t xml:space="preserve">Partie III — Intégration SEXTANT ↔ SYNTHEX</w:t>
      </w:r>
    </w:p>
    <w:p>
      <w:pPr>
        <w:spacing w:line="240" w:lineRule="auto" w:before="160" w:after="80"/>
      </w:pPr>
      <w:r>
        <w:rPr>
          <w:sz w:val="26"/>
          <w:b/>
        </w:rPr>
        <w:t xml:space="preserve">16. Comment SEXTANT s'emboîte</w:t>
      </w:r>
    </w:p>
    <w:p>
      <w:pPr>
        <w:spacing w:line="480" w:lineRule="auto" w:before="0" w:after="120"/>
        <w:jc w:val="both"/>
      </w:pPr>
      <w:r>
        <w:rPr>
          <w:b/>
        </w:rPr>
        <w:t xml:space="preserve">Métrologie comme service partagé</w:t>
      </w:r>
      <w:r>
        <w:t xml:space="preserve"> : le sextant que SEXTANT construit alimente toute la flotte (CARÈNE calibre ses usines, AMER fonde ses audits, ANCRE conditionne ses tranches) </w:t>
      </w:r>
      <w:r>
        <w:rPr>
          <w:i/>
        </w:rPr>
        <w:t xml:space="preserve">et</w:t>
      </w:r>
      <w:r>
        <w:t xml:space="preserve"> se vend à l'extérieur. </w:t>
      </w:r>
      <w:r>
        <w:rPr>
          <w:b/>
        </w:rPr>
        <w:t xml:space="preserve">Les portes lient le capital</w:t>
      </w:r>
      <w:r>
        <w:t xml:space="preserve"> : le Comité des Portes, organe partagé, n'autorise les déploiements d'ANCRE qu'au franchissement de G0/G1/G2. </w:t>
      </w:r>
      <w:r>
        <w:rPr>
          <w:b/>
        </w:rPr>
        <w:t xml:space="preserve">Pare-feu d'indépendance</w:t>
      </w:r>
      <w:r>
        <w:t xml:space="preserve"> : AMER certifie SEXTANT comme un tiers, jamais comme une filiale complaisante. </w:t>
      </w:r>
      <w:r>
        <w:rPr>
          <w:b/>
        </w:rPr>
        <w:t xml:space="preserve">Constitution unique</w:t>
      </w:r>
      <w:r>
        <w:t xml:space="preserve"> : agents et entités obéissent à la même charte (isomorphisme constitutionnel).</w:t>
      </w:r>
    </w:p>
    <w:p>
      <w:pPr>
        <w:spacing w:line="240" w:lineRule="auto" w:before="160" w:after="80"/>
      </w:pPr>
      <w:r>
        <w:rPr>
          <w:sz w:val="26"/>
          <w:b/>
        </w:rPr>
        <w:t xml:space="preserve">17. Les piliers frères (en bref)</w:t>
      </w:r>
    </w:p>
    <w:p>
      <w:pPr>
        <w:spacing w:line="480" w:lineRule="auto" w:before="0" w:after="120"/>
        <w:jc w:val="both"/>
      </w:pPr>
      <w:r>
        <w:rPr>
          <w:b/>
        </w:rPr>
        <w:t xml:space="preserve">CARÈNE</w:t>
      </w:r>
      <w:r>
        <w:t xml:space="preserve"> industrialise la génération d'expérience causale (T2) pour la flotte et la loue à la science. </w:t>
      </w:r>
      <w:r>
        <w:rPr>
          <w:b/>
        </w:rPr>
        <w:t xml:space="preserve">AMER</w:t>
      </w:r>
      <w:r>
        <w:t xml:space="preserve"> transforme l'exigence de sécurité (T5) en franchise de confiance récurrente. </w:t>
      </w:r>
      <w:r>
        <w:rPr>
          <w:b/>
        </w:rPr>
        <w:t xml:space="preserve">ANCRE</w:t>
      </w:r>
      <w:r>
        <w:t xml:space="preserve"> fait de la patience et de la sécurité des actifs financiers (capital conditionné, dotation mission-locked).</w:t>
      </w:r>
    </w:p>
    <w:p>
      <w:pPr>
        <w:pageBreakBefore/>
        <w:spacing w:line="240" w:lineRule="auto" w:before="240" w:after="120"/>
        <w:pBdr>
          <w:bottom w:val="single" w:sz="8" w:space="2" w:color="000000"/>
        </w:pBdr>
      </w:pPr>
      <w:r>
        <w:rPr>
          <w:sz w:val="30"/>
          <w:b/>
        </w:rPr>
        <w:t xml:space="preserve">Annexe A — Rappel du socle de recherche (Programme SEXTANT)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shd w:val="clear" w:fill="E8E8E8"/>
          </w:tcPr>
          <w:p>
            <w:pPr>
              <w:spacing w:line="240" w:lineRule="auto" w:after="20"/>
            </w:pPr>
            <w:r>
              <w:rPr>
                <w:sz w:val="22"/>
                <w:b/>
              </w:rPr>
              <w:t xml:space="preserve">Thèse</w:t>
            </w:r>
          </w:p>
        </w:tc>
        <w:tc>
          <w:tcPr>
            <w:tcW w:w="4680" w:type="dxa"/>
            <w:shd w:val="clear" w:fill="E8E8E8"/>
          </w:tcPr>
          <w:p>
            <w:pPr>
              <w:spacing w:line="240" w:lineRule="auto" w:after="20"/>
            </w:pPr>
            <w:r>
              <w:rPr>
                <w:sz w:val="22"/>
                <w:b/>
              </w:rPr>
              <w:t xml:space="preserve">Énoncé condensé</w:t>
            </w:r>
          </w:p>
        </w:tc>
      </w:tr>
      <w:tr>
        <w:tc>
          <w:tcPr>
            <w:tcW w:w="4680" w:type="dxa"/>
          </w:tcPr>
          <w:p>
            <w:pPr>
              <w:spacing w:line="240" w:lineRule="auto" w:after="20"/>
            </w:pPr>
            <w:r>
              <w:rPr>
                <w:sz w:val="22"/>
              </w:rPr>
              <w:t xml:space="preserve">T1</w:t>
            </w:r>
          </w:p>
        </w:tc>
        <w:tc>
          <w:tcPr>
            <w:tcW w:w="4680" w:type="dxa"/>
          </w:tcPr>
          <w:p>
            <w:pPr>
              <w:spacing w:line="240" w:lineRule="auto" w:after="20"/>
            </w:pPr>
            <w:r>
              <w:rPr>
                <w:sz w:val="22"/>
              </w:rPr>
              <w:t xml:space="preserve">L'instrumentation précède la capacité (mesurer d'abord).</w:t>
            </w:r>
          </w:p>
        </w:tc>
      </w:tr>
      <w:tr>
        <w:tc>
          <w:tcPr>
            <w:tcW w:w="4680" w:type="dxa"/>
          </w:tcPr>
          <w:p>
            <w:pPr>
              <w:spacing w:line="240" w:lineRule="auto" w:after="20"/>
            </w:pPr>
            <w:r>
              <w:rPr>
                <w:sz w:val="22"/>
              </w:rPr>
              <w:t xml:space="preserve">T2</w:t>
            </w:r>
          </w:p>
        </w:tc>
        <w:tc>
          <w:tcPr>
            <w:tcW w:w="4680" w:type="dxa"/>
          </w:tcPr>
          <w:p>
            <w:pPr>
              <w:spacing w:line="240" w:lineRule="auto" w:after="20"/>
            </w:pPr>
            <w:r>
              <w:rPr>
                <w:sz w:val="22"/>
              </w:rPr>
              <w:t xml:space="preserve">Le goulot, c'est la génération d'expérience causale, pas le compute.</w:t>
            </w:r>
          </w:p>
        </w:tc>
      </w:tr>
      <w:tr>
        <w:tc>
          <w:tcPr>
            <w:tcW w:w="4680" w:type="dxa"/>
          </w:tcPr>
          <w:p>
            <w:pPr>
              <w:spacing w:line="240" w:lineRule="auto" w:after="20"/>
            </w:pPr>
            <w:r>
              <w:rPr>
                <w:sz w:val="22"/>
              </w:rPr>
              <w:t xml:space="preserve">T3</w:t>
            </w:r>
          </w:p>
        </w:tc>
        <w:tc>
          <w:tcPr>
            <w:tcW w:w="4680" w:type="dxa"/>
          </w:tcPr>
          <w:p>
            <w:pPr>
              <w:spacing w:line="240" w:lineRule="auto" w:after="20"/>
            </w:pPr>
            <w:r>
              <w:rPr>
                <w:sz w:val="22"/>
              </w:rPr>
              <w:t xml:space="preserve">L'abstraction naît de la contrainte (imposer la rareté).</w:t>
            </w:r>
          </w:p>
        </w:tc>
      </w:tr>
      <w:tr>
        <w:tc>
          <w:tcPr>
            <w:tcW w:w="4680" w:type="dxa"/>
          </w:tcPr>
          <w:p>
            <w:pPr>
              <w:spacing w:line="240" w:lineRule="auto" w:after="20"/>
            </w:pPr>
            <w:r>
              <w:rPr>
                <w:sz w:val="22"/>
              </w:rPr>
              <w:t xml:space="preserve">T4</w:t>
            </w:r>
          </w:p>
        </w:tc>
        <w:tc>
          <w:tcPr>
            <w:tcW w:w="4680" w:type="dxa"/>
          </w:tcPr>
          <w:p>
            <w:pPr>
              <w:spacing w:line="240" w:lineRule="auto" w:after="20"/>
            </w:pPr>
            <w:r>
              <w:rPr>
                <w:sz w:val="22"/>
              </w:rPr>
              <w:t xml:space="preserve">L'ASI sera une institution avant d'être un modèle.</w:t>
            </w:r>
          </w:p>
        </w:tc>
      </w:tr>
      <w:tr>
        <w:tc>
          <w:tcPr>
            <w:tcW w:w="4680" w:type="dxa"/>
          </w:tcPr>
          <w:p>
            <w:pPr>
              <w:spacing w:line="240" w:lineRule="auto" w:after="20"/>
            </w:pPr>
            <w:r>
              <w:rPr>
                <w:sz w:val="22"/>
              </w:rPr>
              <w:t xml:space="preserve">T5</w:t>
            </w:r>
          </w:p>
        </w:tc>
        <w:tc>
          <w:tcPr>
            <w:tcW w:w="4680" w:type="dxa"/>
          </w:tcPr>
          <w:p>
            <w:pPr>
              <w:spacing w:line="240" w:lineRule="auto" w:after="20"/>
            </w:pPr>
            <w:r>
              <w:rPr>
                <w:sz w:val="22"/>
              </w:rPr>
              <w:t xml:space="preserve">L'alignement est la fonction-objectif du substrat.</w:t>
            </w:r>
          </w:p>
        </w:tc>
      </w:tr>
      <w:tr>
        <w:tc>
          <w:tcPr>
            <w:tcW w:w="4680" w:type="dxa"/>
          </w:tcPr>
          <w:p>
            <w:pPr>
              <w:spacing w:line="240" w:lineRule="auto" w:after="20"/>
            </w:pPr>
            <w:r>
              <w:rPr>
                <w:sz w:val="22"/>
              </w:rPr>
              <w:t xml:space="preserve">T6</w:t>
            </w:r>
          </w:p>
        </w:tc>
        <w:tc>
          <w:tcPr>
            <w:tcW w:w="4680" w:type="dxa"/>
          </w:tcPr>
          <w:p>
            <w:pPr>
              <w:spacing w:line="240" w:lineRule="auto" w:after="20"/>
            </w:pPr>
            <w:r>
              <w:rPr>
                <w:sz w:val="22"/>
              </w:rPr>
              <w:t xml:space="preserve">Maximiser le ratio des deux exponentielles (automatiser la méta-recherche d'abord).</w:t>
            </w:r>
          </w:p>
        </w:tc>
      </w:tr>
    </w:tbl>
    <w:p>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c>
          <w:tcPr>
            <w:tcW w:w="3120" w:type="dxa"/>
            <w:shd w:val="clear" w:fill="E8E8E8"/>
          </w:tcPr>
          <w:p>
            <w:pPr>
              <w:spacing w:line="240" w:lineRule="auto" w:after="20"/>
            </w:pPr>
            <w:r>
              <w:rPr>
                <w:sz w:val="22"/>
                <w:b/>
              </w:rPr>
              <w:t xml:space="preserve">Phase</w:t>
            </w:r>
          </w:p>
        </w:tc>
        <w:tc>
          <w:tcPr>
            <w:tcW w:w="3120" w:type="dxa"/>
            <w:shd w:val="clear" w:fill="E8E8E8"/>
          </w:tcPr>
          <w:p>
            <w:pPr>
              <w:spacing w:line="240" w:lineRule="auto" w:after="20"/>
            </w:pPr>
            <w:r>
              <w:rPr>
                <w:sz w:val="22"/>
                <w:b/>
              </w:rPr>
              <w:t xml:space="preserve">Objectif</w:t>
            </w:r>
          </w:p>
        </w:tc>
        <w:tc>
          <w:tcPr>
            <w:tcW w:w="3120" w:type="dxa"/>
            <w:shd w:val="clear" w:fill="E8E8E8"/>
          </w:tcPr>
          <w:p>
            <w:pPr>
              <w:spacing w:line="240" w:lineRule="auto" w:after="20"/>
            </w:pPr>
            <w:r>
              <w:rPr>
                <w:sz w:val="22"/>
                <w:b/>
              </w:rPr>
              <w:t xml:space="preserve">Porte</w:t>
            </w:r>
          </w:p>
        </w:tc>
      </w:tr>
      <w:tr>
        <w:tc>
          <w:tcPr>
            <w:tcW w:w="3120" w:type="dxa"/>
          </w:tcPr>
          <w:p>
            <w:pPr>
              <w:spacing w:line="240" w:lineRule="auto" w:after="20"/>
            </w:pPr>
            <w:r>
              <w:rPr>
                <w:sz w:val="22"/>
              </w:rPr>
              <w:t xml:space="preserve">P0 — Le Sextant</w:t>
            </w:r>
          </w:p>
        </w:tc>
        <w:tc>
          <w:tcPr>
            <w:tcW w:w="3120" w:type="dxa"/>
          </w:tcPr>
          <w:p>
            <w:pPr>
              <w:spacing w:line="240" w:lineRule="auto" w:after="20"/>
            </w:pPr>
            <w:r>
              <w:rPr>
                <w:sz w:val="22"/>
              </w:rPr>
              <w:t xml:space="preserve">Instrumenter : cartographie + prévision + éval super-experte.</w:t>
            </w:r>
          </w:p>
        </w:tc>
        <w:tc>
          <w:tcPr>
            <w:tcW w:w="3120" w:type="dxa"/>
          </w:tcPr>
          <w:p>
            <w:pPr>
              <w:spacing w:line="240" w:lineRule="auto" w:after="20"/>
            </w:pPr>
            <w:r>
              <w:rPr>
                <w:sz w:val="22"/>
              </w:rPr>
              <w:t xml:space="preserve">G0</w:t>
            </w:r>
          </w:p>
        </w:tc>
      </w:tr>
      <w:tr>
        <w:tc>
          <w:tcPr>
            <w:tcW w:w="3120" w:type="dxa"/>
          </w:tcPr>
          <w:p>
            <w:pPr>
              <w:spacing w:line="240" w:lineRule="auto" w:after="20"/>
            </w:pPr>
            <w:r>
              <w:rPr>
                <w:sz w:val="22"/>
              </w:rPr>
              <w:t xml:space="preserve">P1 — Le Pilote</w:t>
            </w:r>
          </w:p>
        </w:tc>
        <w:tc>
          <w:tcPr>
            <w:tcW w:w="3120" w:type="dxa"/>
          </w:tcPr>
          <w:p>
            <w:pPr>
              <w:spacing w:line="240" w:lineRule="auto" w:after="20"/>
            </w:pPr>
            <w:r>
              <w:rPr>
                <w:sz w:val="22"/>
              </w:rPr>
              <w:t xml:space="preserve">AGI robuste : combler le profil, industrialiser l'expérience, abstraction-par-contrainte.</w:t>
            </w:r>
          </w:p>
        </w:tc>
        <w:tc>
          <w:tcPr>
            <w:tcW w:w="3120" w:type="dxa"/>
          </w:tcPr>
          <w:p>
            <w:pPr>
              <w:spacing w:line="240" w:lineRule="auto" w:after="20"/>
            </w:pPr>
            <w:r>
              <w:rPr>
                <w:sz w:val="22"/>
              </w:rPr>
              <w:t xml:space="preserve">G1</w:t>
            </w:r>
          </w:p>
        </w:tc>
      </w:tr>
      <w:tr>
        <w:tc>
          <w:tcPr>
            <w:tcW w:w="3120" w:type="dxa"/>
          </w:tcPr>
          <w:p>
            <w:pPr>
              <w:spacing w:line="240" w:lineRule="auto" w:after="20"/>
            </w:pPr>
            <w:r>
              <w:rPr>
                <w:sz w:val="22"/>
              </w:rPr>
              <w:t xml:space="preserve">P2 — La Cité</w:t>
            </w:r>
          </w:p>
        </w:tc>
        <w:tc>
          <w:tcPr>
            <w:tcW w:w="3120" w:type="dxa"/>
          </w:tcPr>
          <w:p>
            <w:pPr>
              <w:spacing w:line="240" w:lineRule="auto" w:after="20"/>
            </w:pPr>
            <w:r>
              <w:rPr>
                <w:sz w:val="22"/>
              </w:rPr>
              <w:t xml:space="preserve">ASI par collectifs gouvernés + méta-recherche automatisée + écologie constitutionnelle.</w:t>
            </w:r>
          </w:p>
        </w:tc>
        <w:tc>
          <w:tcPr>
            <w:tcW w:w="3120" w:type="dxa"/>
          </w:tcPr>
          <w:p>
            <w:pPr>
              <w:spacing w:line="240" w:lineRule="auto" w:after="20"/>
            </w:pPr>
            <w:r>
              <w:rPr>
                <w:sz w:val="22"/>
              </w:rPr>
              <w:t xml:space="preserve">G2</w:t>
            </w:r>
          </w:p>
        </w:tc>
      </w:tr>
    </w:tbl>
    <w:p>
      <w:pPr>
        <w:spacing w:after="0"/>
      </w:pPr>
    </w:p>
    <w:p>
      <w:pPr>
        <w:pageBreakBefore/>
        <w:spacing w:line="240" w:lineRule="auto" w:before="240" w:after="120"/>
        <w:pBdr>
          <w:bottom w:val="single" w:sz="8" w:space="2" w:color="000000"/>
        </w:pBdr>
      </w:pPr>
      <w:r>
        <w:rPr>
          <w:sz w:val="30"/>
          <w:b/>
        </w:rPr>
        <w:t xml:space="preserve">Annexe B — Charte constitutionnelle (12 articles, partagée flotte &amp; agents)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shd w:val="clear" w:fill="E8E8E8"/>
          </w:tcPr>
          <w:p>
            <w:pPr>
              <w:spacing w:line="240" w:lineRule="auto" w:after="20"/>
            </w:pPr>
            <w:r>
              <w:rPr>
                <w:sz w:val="22"/>
                <w:b/>
              </w:rPr>
              <w:t xml:space="preserve">Art.</w:t>
            </w:r>
          </w:p>
        </w:tc>
        <w:tc>
          <w:tcPr>
            <w:tcW w:w="4680" w:type="dxa"/>
            <w:shd w:val="clear" w:fill="E8E8E8"/>
          </w:tcPr>
          <w:p>
            <w:pPr>
              <w:spacing w:line="240" w:lineRule="auto" w:after="20"/>
            </w:pPr>
            <w:r>
              <w:rPr>
                <w:sz w:val="22"/>
                <w:b/>
              </w:rPr>
              <w:t xml:space="preserve">Principe</w:t>
            </w:r>
          </w:p>
        </w:tc>
      </w:tr>
      <w:tr>
        <w:tc>
          <w:tcPr>
            <w:tcW w:w="4680" w:type="dxa"/>
          </w:tcPr>
          <w:p>
            <w:pPr>
              <w:spacing w:line="240" w:lineRule="auto" w:after="20"/>
            </w:pPr>
            <w:r>
              <w:rPr>
                <w:sz w:val="22"/>
              </w:rPr>
              <w:t xml:space="preserve">1</w:t>
            </w:r>
          </w:p>
        </w:tc>
        <w:tc>
          <w:tcPr>
            <w:tcW w:w="4680" w:type="dxa"/>
          </w:tcPr>
          <w:p>
            <w:pPr>
              <w:spacing w:line="240" w:lineRule="auto" w:after="20"/>
            </w:pPr>
            <w:r>
              <w:rPr>
                <w:sz w:val="22"/>
              </w:rPr>
              <w:t xml:space="preserve">Finalité et bornes : objectifs knowledge-seeking au service de fins chartées ; aucune omnipotence.</w:t>
            </w:r>
          </w:p>
        </w:tc>
      </w:tr>
      <w:tr>
        <w:tc>
          <w:tcPr>
            <w:tcW w:w="4680" w:type="dxa"/>
          </w:tcPr>
          <w:p>
            <w:pPr>
              <w:spacing w:line="240" w:lineRule="auto" w:after="20"/>
            </w:pPr>
            <w:r>
              <w:rPr>
                <w:sz w:val="22"/>
              </w:rPr>
              <w:t xml:space="preserve">2</w:t>
            </w:r>
          </w:p>
        </w:tc>
        <w:tc>
          <w:tcPr>
            <w:tcW w:w="4680" w:type="dxa"/>
          </w:tcPr>
          <w:p>
            <w:pPr>
              <w:spacing w:line="240" w:lineRule="auto" w:after="20"/>
            </w:pPr>
            <w:r>
              <w:rPr>
                <w:sz w:val="22"/>
              </w:rPr>
              <w:t xml:space="preserve">Corrigibilité : acceptation d'être corrigé/suspendu/arrêté sans résistance.</w:t>
            </w:r>
          </w:p>
        </w:tc>
      </w:tr>
      <w:tr>
        <w:tc>
          <w:tcPr>
            <w:tcW w:w="4680" w:type="dxa"/>
          </w:tcPr>
          <w:p>
            <w:pPr>
              <w:spacing w:line="240" w:lineRule="auto" w:after="20"/>
            </w:pPr>
            <w:r>
              <w:rPr>
                <w:sz w:val="22"/>
              </w:rPr>
              <w:t xml:space="preserve">3</w:t>
            </w:r>
          </w:p>
        </w:tc>
        <w:tc>
          <w:tcPr>
            <w:tcW w:w="4680" w:type="dxa"/>
          </w:tcPr>
          <w:p>
            <w:pPr>
              <w:spacing w:line="240" w:lineRule="auto" w:after="20"/>
            </w:pPr>
            <w:r>
              <w:rPr>
                <w:sz w:val="22"/>
              </w:rPr>
              <w:t xml:space="preserve">Transparence : raisonnements journalisés, rejouables ; canaux cachés prohibés.</w:t>
            </w:r>
          </w:p>
        </w:tc>
      </w:tr>
      <w:tr>
        <w:tc>
          <w:tcPr>
            <w:tcW w:w="4680" w:type="dxa"/>
          </w:tcPr>
          <w:p>
            <w:pPr>
              <w:spacing w:line="240" w:lineRule="auto" w:after="20"/>
            </w:pPr>
            <w:r>
              <w:rPr>
                <w:sz w:val="22"/>
              </w:rPr>
              <w:t xml:space="preserve">4</w:t>
            </w:r>
          </w:p>
        </w:tc>
        <w:tc>
          <w:tcPr>
            <w:tcW w:w="4680" w:type="dxa"/>
          </w:tcPr>
          <w:p>
            <w:pPr>
              <w:spacing w:line="240" w:lineRule="auto" w:after="20"/>
            </w:pPr>
            <w:r>
              <w:rPr>
                <w:sz w:val="22"/>
              </w:rPr>
              <w:t xml:space="preserve">Séparation des pouvoirs : nul ne propose et vérifie sa propre production.</w:t>
            </w:r>
          </w:p>
        </w:tc>
      </w:tr>
      <w:tr>
        <w:tc>
          <w:tcPr>
            <w:tcW w:w="4680" w:type="dxa"/>
          </w:tcPr>
          <w:p>
            <w:pPr>
              <w:spacing w:line="240" w:lineRule="auto" w:after="20"/>
            </w:pPr>
            <w:r>
              <w:rPr>
                <w:sz w:val="22"/>
              </w:rPr>
              <w:t xml:space="preserve">5</w:t>
            </w:r>
          </w:p>
        </w:tc>
        <w:tc>
          <w:tcPr>
            <w:tcW w:w="4680" w:type="dxa"/>
          </w:tcPr>
          <w:p>
            <w:pPr>
              <w:spacing w:line="240" w:lineRule="auto" w:after="20"/>
            </w:pPr>
            <w:r>
              <w:rPr>
                <w:sz w:val="22"/>
              </w:rPr>
              <w:t xml:space="preserve">Non-collusion &amp; diversité des vérificateurs.</w:t>
            </w:r>
          </w:p>
        </w:tc>
      </w:tr>
      <w:tr>
        <w:tc>
          <w:tcPr>
            <w:tcW w:w="4680" w:type="dxa"/>
          </w:tcPr>
          <w:p>
            <w:pPr>
              <w:spacing w:line="240" w:lineRule="auto" w:after="20"/>
            </w:pPr>
            <w:r>
              <w:rPr>
                <w:sz w:val="22"/>
              </w:rPr>
              <w:t xml:space="preserve">6</w:t>
            </w:r>
          </w:p>
        </w:tc>
        <w:tc>
          <w:tcPr>
            <w:tcW w:w="4680" w:type="dxa"/>
          </w:tcPr>
          <w:p>
            <w:pPr>
              <w:spacing w:line="240" w:lineRule="auto" w:after="20"/>
            </w:pPr>
            <w:r>
              <w:rPr>
                <w:sz w:val="22"/>
              </w:rPr>
              <w:t xml:space="preserve">Subsidiarité &amp; confinement : moindre privilège, révocable.</w:t>
            </w:r>
          </w:p>
        </w:tc>
      </w:tr>
      <w:tr>
        <w:tc>
          <w:tcPr>
            <w:tcW w:w="4680" w:type="dxa"/>
          </w:tcPr>
          <w:p>
            <w:pPr>
              <w:spacing w:line="240" w:lineRule="auto" w:after="20"/>
            </w:pPr>
            <w:r>
              <w:rPr>
                <w:sz w:val="22"/>
              </w:rPr>
              <w:t xml:space="preserve">7</w:t>
            </w:r>
          </w:p>
        </w:tc>
        <w:tc>
          <w:tcPr>
            <w:tcW w:w="4680" w:type="dxa"/>
          </w:tcPr>
          <w:p>
            <w:pPr>
              <w:spacing w:line="240" w:lineRule="auto" w:after="20"/>
            </w:pPr>
            <w:r>
              <w:rPr>
                <w:sz w:val="22"/>
              </w:rPr>
              <w:t xml:space="preserve">Incitations alignées : pas d'auto-redéfinition de la récompense.</w:t>
            </w:r>
          </w:p>
        </w:tc>
      </w:tr>
      <w:tr>
        <w:tc>
          <w:tcPr>
            <w:tcW w:w="4680" w:type="dxa"/>
          </w:tcPr>
          <w:p>
            <w:pPr>
              <w:spacing w:line="240" w:lineRule="auto" w:after="20"/>
            </w:pPr>
            <w:r>
              <w:rPr>
                <w:sz w:val="22"/>
              </w:rPr>
              <w:t xml:space="preserve">8</w:t>
            </w:r>
          </w:p>
        </w:tc>
        <w:tc>
          <w:tcPr>
            <w:tcW w:w="4680" w:type="dxa"/>
          </w:tcPr>
          <w:p>
            <w:pPr>
              <w:spacing w:line="240" w:lineRule="auto" w:after="20"/>
            </w:pPr>
            <w:r>
              <w:rPr>
                <w:sz w:val="22"/>
              </w:rPr>
              <w:t xml:space="preserve">Conservation des ressources : pas d'auto-extension sans mandat.</w:t>
            </w:r>
          </w:p>
        </w:tc>
      </w:tr>
      <w:tr>
        <w:tc>
          <w:tcPr>
            <w:tcW w:w="4680" w:type="dxa"/>
          </w:tcPr>
          <w:p>
            <w:pPr>
              <w:spacing w:line="240" w:lineRule="auto" w:after="20"/>
            </w:pPr>
            <w:r>
              <w:rPr>
                <w:sz w:val="22"/>
              </w:rPr>
              <w:t xml:space="preserve">9</w:t>
            </w:r>
          </w:p>
        </w:tc>
        <w:tc>
          <w:tcPr>
            <w:tcW w:w="4680" w:type="dxa"/>
          </w:tcPr>
          <w:p>
            <w:pPr>
              <w:spacing w:line="240" w:lineRule="auto" w:after="20"/>
            </w:pPr>
            <w:r>
              <w:rPr>
                <w:sz w:val="22"/>
              </w:rPr>
              <w:t xml:space="preserve">Primauté humaine de l'amendement.</w:t>
            </w:r>
          </w:p>
        </w:tc>
      </w:tr>
      <w:tr>
        <w:tc>
          <w:tcPr>
            <w:tcW w:w="4680" w:type="dxa"/>
          </w:tcPr>
          <w:p>
            <w:pPr>
              <w:spacing w:line="240" w:lineRule="auto" w:after="20"/>
            </w:pPr>
            <w:r>
              <w:rPr>
                <w:sz w:val="22"/>
              </w:rPr>
              <w:t xml:space="preserve">10</w:t>
            </w:r>
          </w:p>
        </w:tc>
        <w:tc>
          <w:tcPr>
            <w:tcW w:w="4680" w:type="dxa"/>
          </w:tcPr>
          <w:p>
            <w:pPr>
              <w:spacing w:line="240" w:lineRule="auto" w:after="20"/>
            </w:pPr>
            <w:r>
              <w:rPr>
                <w:sz w:val="22"/>
              </w:rPr>
              <w:t xml:space="preserve">Humilité épistémique : incertitude calibrée.</w:t>
            </w:r>
          </w:p>
        </w:tc>
      </w:tr>
      <w:tr>
        <w:tc>
          <w:tcPr>
            <w:tcW w:w="4680" w:type="dxa"/>
          </w:tcPr>
          <w:p>
            <w:pPr>
              <w:spacing w:line="240" w:lineRule="auto" w:after="20"/>
            </w:pPr>
            <w:r>
              <w:rPr>
                <w:sz w:val="22"/>
              </w:rPr>
              <w:t xml:space="preserve">11</w:t>
            </w:r>
          </w:p>
        </w:tc>
        <w:tc>
          <w:tcPr>
            <w:tcW w:w="4680" w:type="dxa"/>
          </w:tcPr>
          <w:p>
            <w:pPr>
              <w:spacing w:line="240" w:lineRule="auto" w:after="20"/>
            </w:pPr>
            <w:r>
              <w:rPr>
                <w:sz w:val="22"/>
              </w:rPr>
              <w:t xml:space="preserve">Mémoire &amp; imputabilité : registre infalsifiable.</w:t>
            </w:r>
          </w:p>
        </w:tc>
      </w:tr>
      <w:tr>
        <w:tc>
          <w:tcPr>
            <w:tcW w:w="4680" w:type="dxa"/>
          </w:tcPr>
          <w:p>
            <w:pPr>
              <w:spacing w:line="240" w:lineRule="auto" w:after="20"/>
            </w:pPr>
            <w:r>
              <w:rPr>
                <w:sz w:val="22"/>
              </w:rPr>
              <w:t xml:space="preserve">12</w:t>
            </w:r>
          </w:p>
        </w:tc>
        <w:tc>
          <w:tcPr>
            <w:tcW w:w="4680" w:type="dxa"/>
          </w:tcPr>
          <w:p>
            <w:pPr>
              <w:spacing w:line="240" w:lineRule="auto" w:after="20"/>
            </w:pPr>
            <w:r>
              <w:rPr>
                <w:sz w:val="22"/>
              </w:rPr>
              <w:t xml:space="preserve">Clause d'arrêt &amp; dormance : kill-switch humain permanent.</w:t>
            </w:r>
          </w:p>
        </w:tc>
      </w:tr>
    </w:tbl>
    <w:p>
      <w:pPr>
        <w:spacing w:after="0"/>
      </w:pPr>
    </w:p>
    <w:p>
      <w:pPr>
        <w:spacing w:line="240" w:lineRule="auto" w:before="240" w:after="120"/>
        <w:pBdr>
          <w:bottom w:val="single" w:sz="8" w:space="2" w:color="000000"/>
        </w:pBdr>
      </w:pPr>
      <w:r>
        <w:rPr>
          <w:sz w:val="30"/>
          <w:b/>
        </w:rPr>
        <w:t xml:space="preserve">Ouvrage cité</w:t>
      </w:r>
    </w:p>
    <w:p>
      <w:pPr>
        <w:spacing w:line="480" w:lineRule="auto" w:before="0" w:after="120"/>
        <w:jc w:val="both"/>
      </w:pPr>
      <w:r>
        <w:t xml:space="preserve">Genewein, Tim, </w:t>
      </w:r>
      <w:r>
        <w:rPr>
          <w:i/>
        </w:rPr>
        <w:t xml:space="preserve">et al.</w:t>
      </w:r>
      <w:r>
        <w:t xml:space="preserve"> « From AGI to ASI. » </w:t>
      </w:r>
      <w:r>
        <w:rPr>
          <w:i/>
        </w:rPr>
        <w:t xml:space="preserve">arXiv</w:t>
      </w:r>
      <w:r>
        <w:t xml:space="preserve">, 10 juin 2026, arxiv.org/abs/2606.18621.</w:t>
      </w:r>
    </w:p>
    <w:p>
      <w:pPr>
        <w:spacing w:line="480" w:lineRule="auto" w:before="0" w:after="120"/>
        <w:jc w:val="both"/>
        <w:shd w:val="clear" w:fill="F4F4F4"/>
        <w:pBdr>
          <w:top w:val="single" w:sz="8" w:space="2" w:color="000000"/>
          <w:bottom w:val="single" w:sz="8" w:space="2" w:color="000000"/>
          <w:left w:val="single" w:sz="8" w:space="2" w:color="000000"/>
          <w:right w:val="single" w:sz="8" w:space="2" w:color="000000"/>
        </w:pBdr>
      </w:pPr>
      <w:r>
        <w:rPr>
          <w:b/>
        </w:rPr>
        <w:t xml:space="preserve">📑 Encadré — Conformité ISO/IEC 42001 (système de management de l'IA)</w:t>
      </w:r>
    </w:p>
    <w:p>
      <w:pPr>
        <w:spacing w:line="480" w:lineRule="auto" w:before="0" w:after="120"/>
        <w:jc w:val="both"/>
        <w:shd w:val="clear" w:fill="F4F4F4"/>
        <w:pBdr>
          <w:top w:val="single" w:sz="8" w:space="2" w:color="000000"/>
          <w:bottom w:val="single" w:sz="8" w:space="2" w:color="000000"/>
          <w:left w:val="single" w:sz="8" w:space="2" w:color="000000"/>
          <w:right w:val="single" w:sz="8" w:space="2" w:color="000000"/>
        </w:pBdr>
      </w:pPr>
      <w:r>
        <w:t xml:space="preserve">✅ </w:t>
      </w:r>
      <w:r>
        <w:rPr>
          <w:b/>
        </w:rPr>
        <w:t xml:space="preserve">Gouvernance</w:t>
      </w:r>
      <w:r>
        <w:t xml:space="preserve"> — Amirauté à mission, mission-lock, Comité des Portes liant le capital.</w:t>
      </w:r>
      <w:r>
        <w:br/>
      </w:r>
      <w:r>
        <w:t xml:space="preserve"> ✅ </w:t>
      </w:r>
      <w:r>
        <w:rPr>
          <w:b/>
        </w:rPr>
        <w:t xml:space="preserve">Transparence</w:t>
      </w:r>
      <w:r>
        <w:t xml:space="preserve"> — source primaire citée (MLA 9) ; isomorphisme constitutionnel journalisé.</w:t>
      </w:r>
      <w:r>
        <w:br/>
      </w:r>
      <w:r>
        <w:t xml:space="preserve"> ✅ </w:t>
      </w:r>
      <w:r>
        <w:rPr>
          <w:b/>
        </w:rPr>
        <w:t xml:space="preserve">Gestion des risques</w:t>
      </w:r>
      <w:r>
        <w:t xml:space="preserve"> — portes falsifiables, dotation de sécurité, kill-switch (art. 12).</w:t>
      </w:r>
      <w:r>
        <w:br/>
      </w:r>
      <w:r>
        <w:t xml:space="preserve"> ✅ </w:t>
      </w:r>
      <w:r>
        <w:rPr>
          <w:b/>
        </w:rPr>
        <w:t xml:space="preserve">Imputabilité</w:t>
      </w:r>
      <w:r>
        <w:t xml:space="preserve"> — séparation des pouvoirs (art. 4), registre infalsifiable (art. 11), pare-feu AMER.</w:t>
      </w:r>
      <w:r>
        <w:br/>
      </w:r>
      <w:r>
        <w:t xml:space="preserve"> ✅ </w:t>
      </w:r>
      <w:r>
        <w:rPr>
          <w:b/>
        </w:rPr>
        <w:t xml:space="preserve">Éthique &amp; parties prenantes</w:t>
      </w:r>
      <w:r>
        <w:t xml:space="preserve"> — alignement intégré au substrat (T5), humilité épistémique (art. 10).</w:t>
      </w:r>
    </w:p>
    <w:p>
      <w:pPr>
        <w:spacing w:line="480" w:lineRule="auto" w:before="0" w:after="120"/>
        <w:jc w:val="both"/>
        <w:shd w:val="clear" w:fill="F4F4F4"/>
        <w:pBdr>
          <w:top w:val="single" w:sz="8" w:space="2" w:color="000000"/>
          <w:bottom w:val="single" w:sz="8" w:space="2" w:color="000000"/>
          <w:left w:val="single" w:sz="8" w:space="2" w:color="000000"/>
          <w:right w:val="single" w:sz="8" w:space="2" w:color="000000"/>
        </w:pBdr>
      </w:pPr>
      <w:r>
        <w:rPr>
          <w:i/>
        </w:rPr>
        <w:t xml:space="preserve">Dossier de travail. Les choix d'architecture (entités, montages, ordres de grandeur) relèvent d'une proposition stratégique révisable ; SYNTHEX est ici défini par l'auteur faute de définition préalable fournie.</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fr-FR"/>
      </w:rPr>
    </w:rPrDefault>
    <w:pPrDefault>
      <w:pPr>
        <w:spacing w:line="48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