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480" w:lineRule="auto" w:before="0" w:after="200"/>
        <w:jc w:val="center"/>
      </w:pPr>
      <w:r>
        <w:rPr>
          <w:sz w:val="40"/>
          <w:b/>
        </w:rPr>
        <w:t xml:space="preserve">SYNTHEX</w:t>
      </w:r>
    </w:p>
    <w:p>
      <w:pPr>
        <w:spacing w:line="480" w:lineRule="auto" w:before="0" w:after="120"/>
        <w:jc w:val="center"/>
      </w:pPr>
      <w:r>
        <w:rPr>
          <w:b/>
        </w:rPr>
        <w:t xml:space="preserve">Document d'Intégration d'Agent</w:t>
      </w:r>
    </w:p>
    <w:p>
      <w:pPr>
        <w:spacing w:line="480" w:lineRule="auto" w:before="0" w:after="120"/>
        <w:jc w:val="center"/>
      </w:pPr>
      <w:r>
        <w:rPr>
          <w:b/>
        </w:rPr>
        <w:t xml:space="preserve">Agent SEXTANT — Métrologie &amp; Prévision du Progrès de l'IA</w:t>
      </w:r>
    </w:p>
    <w:p>
      <w:pPr>
        <w:spacing w:line="480" w:lineRule="auto" w:before="0" w:after="120"/>
        <w:jc w:val="center"/>
      </w:pPr>
      <w:r>
        <w:rPr>
          <w:i/>
        </w:rPr>
        <w:t xml:space="preserve">13ᵉ agent — Couche Métier — Moteur des « SYNTHEX Intelligence Reports »</w:t>
      </w:r>
    </w:p>
    <w:p>
      <w:pPr>
        <w:spacing w:line="480" w:lineRule="auto" w:before="0" w:after="120"/>
        <w:jc w:val="center"/>
      </w:pPr>
      <w:r>
        <w:t xml:space="preserve">Version 1.0 — Juin 2026 — CONFIDENTIEL, USAGE INTERNE</w:t>
      </w:r>
    </w:p>
    <w:p>
      <w:pPr>
        <w:spacing w:line="480" w:lineRule="auto" w:before="0" w:after="120"/>
        <w:jc w:val="center"/>
      </w:pPr>
      <w:r>
        <w:t xml:space="preserve">Intégration conforme à la procédure d'extension §6 du </w:t>
      </w:r>
      <w:r>
        <w:rPr>
          <w:i/>
        </w:rPr>
        <w:t xml:space="preserve">Document de Référence Technique SYNTHEX</w:t>
      </w:r>
      <w:r>
        <w:t xml:space="preserve">.</w:t>
      </w:r>
    </w:p>
    <w:p>
      <w:pPr>
        <w:pageBreakBefore/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1. Vue d'ensemble &amp; justification</w:t>
      </w:r>
    </w:p>
    <w:p>
      <w:pPr>
        <w:spacing w:line="240" w:lineRule="auto" w:before="160" w:after="80"/>
      </w:pPr>
      <w:r>
        <w:rPr>
          <w:sz w:val="26"/>
          <w:b/>
        </w:rPr>
        <w:t xml:space="preserve">1.1 Le chaînon manquant</w:t>
      </w:r>
    </w:p>
    <w:p>
      <w:pPr>
        <w:spacing w:line="480" w:lineRule="auto" w:before="0" w:after="120"/>
        <w:jc w:val="both"/>
      </w:pPr>
      <w:r>
        <w:t xml:space="preserve">SYNTHEX sait </w:t>
      </w:r>
      <w:r>
        <w:rPr>
          <w:i/>
        </w:rPr>
        <w:t xml:space="preserve">chercher</w:t>
      </w:r>
      <w:r>
        <w:t xml:space="preserve"> (ARIA/MINERVA), </w:t>
      </w:r>
      <w:r>
        <w:rPr>
          <w:i/>
        </w:rPr>
        <w:t xml:space="preserve">analyser</w:t>
      </w:r>
      <w:r>
        <w:t xml:space="preserve"> (APOLLO/NEXUS), </w:t>
      </w:r>
      <w:r>
        <w:rPr>
          <w:i/>
        </w:rPr>
        <w:t xml:space="preserve">raisonner</w:t>
      </w:r>
      <w:r>
        <w:t xml:space="preserve"> (MINERVA), </w:t>
      </w:r>
      <w:r>
        <w:rPr>
          <w:i/>
        </w:rPr>
        <w:t xml:space="preserve">planifier</w:t>
      </w:r>
      <w:r>
        <w:t xml:space="preserve"> (PROMETHEUS) et </w:t>
      </w:r>
      <w:r>
        <w:rPr>
          <w:i/>
        </w:rPr>
        <w:t xml:space="preserve">se surveiller</w:t>
      </w:r>
      <w:r>
        <w:t xml:space="preserve"> (DIANA). Mais aucun agent n'a pour mission de </w:t>
      </w:r>
      <w:r>
        <w:rPr>
          <w:b/>
        </w:rPr>
        <w:t xml:space="preserve">mesurer et prévoir le progrès de l'intelligence artificielle elle-même</w:t>
      </w:r>
      <w:r>
        <w:t xml:space="preserve"> — or c'est précisément le cœur de l'offre </w:t>
      </w:r>
      <w:r>
        <w:rPr>
          <w:i/>
        </w:rPr>
        <w:t xml:space="preserve">SYNTHEX Intelligence Reports</w:t>
      </w:r>
      <w:r>
        <w:t xml:space="preserve"> (Module 5) et la compétence stratégique que le rapport </w:t>
      </w:r>
      <w:r>
        <w:rPr>
          <w:i/>
        </w:rPr>
        <w:t xml:space="preserve">From AGI to ASI</w:t>
      </w:r>
      <w:r>
        <w:t xml:space="preserve"> annonce comme un champ à part entière (« mesurer, modéliser et prévoir le progrès de l'IA deviendra une discipline »). </w:t>
      </w:r>
      <w:r>
        <w:rPr>
          <w:b/>
        </w:rPr>
        <w:t xml:space="preserve">SEXTANT</w:t>
      </w:r>
      <w:r>
        <w:t xml:space="preserve"> comble ce vide : il est l'instrument de cap de SYNTHEX.</w:t>
      </w:r>
    </w:p>
    <w:p>
      <w:pPr>
        <w:spacing w:line="480" w:lineRule="auto" w:before="0" w:after="120"/>
        <w:jc w:val="both"/>
      </w:pPr>
      <w:r>
        <w:t xml:space="preserve">Principe directeur, importé du programme SEXTANT et désormais incarné dans un agent : </w:t>
      </w:r>
      <w:r>
        <w:rPr>
          <w:b/>
        </w:rPr>
        <w:t xml:space="preserve">l'instrumentation précède la capacité</w:t>
      </w:r>
      <w:r>
        <w:t xml:space="preserve">. On ne navigue pas vers l'AGI/ASI sans sextant.</w:t>
      </w:r>
    </w:p>
    <w:p>
      <w:pPr>
        <w:spacing w:line="240" w:lineRule="auto" w:before="160" w:after="80"/>
      </w:pPr>
      <w:r>
        <w:rPr>
          <w:sz w:val="26"/>
          <w:b/>
        </w:rPr>
        <w:t xml:space="preserve">1.2 Périmètre exclusif — non-chevauchement (§6.1)</w:t>
      </w:r>
    </w:p>
    <w:p>
      <w:pPr>
        <w:spacing w:line="480" w:lineRule="auto" w:before="0" w:after="120"/>
        <w:jc w:val="both"/>
      </w:pPr>
      <w:r>
        <w:t xml:space="preserve">Conformément à la règle « un agent = une responsabilité », le périmètre de SEXTANT est vérifié comme exclusif 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Agent voisin</w:t>
            </w:r>
          </w:p>
        </w:tc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Son périmètre</w:t>
            </w:r>
          </w:p>
        </w:tc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Frontière avec SEXTANT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MINERVA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Connaissance &amp; raisonnement général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SEXTANT ne raisonne pas en général ; il </w:t>
            </w:r>
            <w:r>
              <w:rPr>
                <w:sz w:val="22"/>
                <w:i/>
              </w:rPr>
              <w:t xml:space="preserve">consomme</w:t>
            </w:r>
            <w:r>
              <w:rPr>
                <w:sz w:val="22"/>
              </w:rPr>
              <w:t xml:space="preserve"> MINERVA pour produire une métrologie spécialisée du progrès IA.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APOLLO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Analyse de données &amp; visualisation génériques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SEXTANT produit la mesure (capacités, lois d'échelle, prévisions) ; APOLLO peut en visualiser les sorties.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PROMETHEUS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Planification stratégique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SEXTANT </w:t>
            </w:r>
            <w:r>
              <w:rPr>
                <w:sz w:val="22"/>
                <w:i/>
              </w:rPr>
              <w:t xml:space="preserve">fournit</w:t>
            </w:r>
            <w:r>
              <w:rPr>
                <w:sz w:val="22"/>
              </w:rPr>
              <w:t xml:space="preserve"> les prévisions calibrées qui alimentent la planification ; il ne décide pas la stratégie.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DIANA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Monitoring &amp; observabilité de SYNTHEX (interne)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DIANA surveille le système SYNTHEX ; SEXTANT mesure le progrès de l'IA dans le monde (externe).</w:t>
            </w:r>
          </w:p>
        </w:tc>
      </w:tr>
    </w:tbl>
    <w:p>
      <w:pPr>
        <w:spacing w:after="0"/>
      </w:pPr>
    </w:p>
    <w:p>
      <w:pPr>
        <w:spacing w:line="240" w:lineRule="auto" w:before="160" w:after="80"/>
      </w:pPr>
      <w:r>
        <w:rPr>
          <w:sz w:val="26"/>
          <w:b/>
        </w:rPr>
        <w:t xml:space="preserve">1.3 Placement architectural &amp; collaborations</w:t>
      </w:r>
    </w:p>
    <w:p>
      <w:pPr>
        <w:spacing w:line="480" w:lineRule="auto" w:before="0" w:after="120"/>
        <w:jc w:val="both"/>
      </w:pPr>
      <w:r>
        <w:t xml:space="preserve">SEXTANT s'inscrit dans la </w:t>
      </w:r>
      <w:r>
        <w:rPr>
          <w:b/>
        </w:rPr>
        <w:t xml:space="preserve">Couche Métier</w:t>
      </w:r>
      <w:r>
        <w:t xml:space="preserve"> (traitement &amp; connaissance), aux côtés de MINERVA, VULCAN, APOLLO et ATLAS.</w:t>
      </w:r>
    </w:p>
    <w:p>
      <w:pPr>
        <w:spacing w:line="240" w:lineRule="auto" w:after="120"/>
      </w:pPr>
      <w:r>
        <w:br/>
      </w:r>
      <w:r>
        <w:rPr>
          <w:rFonts w:ascii="Courier New" w:hAnsi="Courier New"/>
          <w:sz w:val="18"/>
        </w:rPr>
        <w:t xml:space="preserve">                 OUROBOROS (orchestration)  ---&gt;  invoque SEXTANT</w:t>
      </w:r>
      <w:r>
        <w:br/>
      </w:r>
      <w:r>
        <w:rPr>
          <w:rFonts w:ascii="Courier New" w:hAnsi="Courier New"/>
          <w:sz w:val="18"/>
        </w:rPr>
        <w:t xml:space="preserve">                      |</w:t>
      </w:r>
      <w:r>
        <w:br/>
      </w:r>
      <w:r>
        <w:rPr>
          <w:rFonts w:ascii="Courier New" w:hAnsi="Courier New"/>
          <w:sz w:val="18"/>
        </w:rPr>
        <w:t xml:space="preserve">   [Interface]  IRIS / MERCURY ----------- MERCURY alimente SEXTANT en donnees externes</w:t>
      </w:r>
      <w:r>
        <w:br/>
      </w:r>
      <w:r>
        <w:rPr>
          <w:rFonts w:ascii="Courier New" w:hAnsi="Courier New"/>
          <w:sz w:val="18"/>
        </w:rPr>
        <w:t xml:space="preserve">                      |</w:t>
      </w:r>
      <w:r>
        <w:br/>
      </w:r>
      <w:r>
        <w:rPr>
          <w:rFonts w:ascii="Courier New" w:hAnsi="Courier New"/>
          <w:sz w:val="18"/>
        </w:rPr>
        <w:t xml:space="preserve">   [Metier]     MINERVA  APOLLO  ATLAS  *** SEXTANT ***  VULCAN</w:t>
      </w:r>
      <w:r>
        <w:br/>
      </w:r>
      <w:r>
        <w:rPr>
          <w:rFonts w:ascii="Courier New" w:hAnsi="Courier New"/>
          <w:sz w:val="18"/>
        </w:rPr>
        <w:t xml:space="preserve">                  ^        ^       ^          |</w:t>
      </w:r>
      <w:r>
        <w:br/>
      </w:r>
      <w:r>
        <w:rPr>
          <w:rFonts w:ascii="Courier New" w:hAnsi="Courier New"/>
          <w:sz w:val="18"/>
        </w:rPr>
        <w:t xml:space="preserve">                  |        |       |          +--&gt; previsions calibrees --&gt; PROMETHEUS (strategie)</w:t>
      </w:r>
      <w:r>
        <w:br/>
      </w:r>
      <w:r>
        <w:rPr>
          <w:rFonts w:ascii="Courier New" w:hAnsi="Courier New"/>
          <w:sz w:val="18"/>
        </w:rPr>
        <w:t xml:space="preserve">                  raisonne visualise memorise</w:t>
      </w:r>
      <w:r>
        <w:br/>
      </w:r>
      <w:r>
        <w:rPr>
          <w:rFonts w:ascii="Courier New" w:hAnsi="Courier New"/>
          <w:sz w:val="18"/>
        </w:rPr>
        <w:t xml:space="preserve">                      |</w:t>
      </w:r>
      <w:r>
        <w:br/>
      </w:r>
      <w:r>
        <w:rPr>
          <w:rFonts w:ascii="Courier New" w:hAnsi="Courier New"/>
          <w:sz w:val="18"/>
        </w:rPr>
        <w:t xml:space="preserve">   [Infra/Gouv] PROMETHEUS  HERMES  | THEMIS (conformite/veto)  ARES (securite)  DIANA (logs)</w:t>
      </w:r>
      <w:r>
        <w:br/>
      </w:r>
    </w:p>
    <w:p>
      <w:pPr>
        <w:spacing w:line="480" w:lineRule="auto" w:before="0" w:after="120"/>
        <w:jc w:val="both"/>
      </w:pPr>
      <w:r>
        <w:t xml:space="preserve">Flux type : OUROBOROS reçoit une demande d'intelligence → délègue à SEXTANT → SEXTANT mobilise MERCURY/ARIA (données), MINERVA (raisonnement), ATLAS (mémoire) → produit cartographie + prévisions calibrées → THEMIS contrôle (seuils/veto), DIANA journalise → APOLLO visualise → IRIS restitue / le produit </w:t>
      </w:r>
      <w:r>
        <w:rPr>
          <w:i/>
        </w:rPr>
        <w:t xml:space="preserve">Intelligence Reports</w:t>
      </w:r>
      <w:r>
        <w:t xml:space="preserve"> est généré.</w:t>
      </w:r>
    </w:p>
    <w:p>
      <w:pPr>
        <w:spacing w:line="240" w:lineRule="auto" w:before="160" w:after="80"/>
      </w:pPr>
      <w:r>
        <w:rPr>
          <w:sz w:val="26"/>
          <w:b/>
        </w:rPr>
        <w:t xml:space="preserve">1.4 Note de nommage</w:t>
      </w:r>
    </w:p>
    <w:p>
      <w:pPr>
        <w:spacing w:line="480" w:lineRule="auto" w:before="0" w:after="120"/>
        <w:jc w:val="both"/>
      </w:pPr>
      <w:r>
        <w:t xml:space="preserve">Le panthéon SYNTHEX est mythologique (OUROBOROS, ARES, THEMIS, MINERVA…). « SEXTANT » est un nom d'instrument : thématiquement juste (l'agent </w:t>
      </w:r>
      <w:r>
        <w:rPr>
          <w:i/>
        </w:rPr>
        <w:t xml:space="preserve">est</w:t>
      </w:r>
      <w:r>
        <w:t xml:space="preserve"> l'instrument de mesure), mais hétérodoxe. </w:t>
      </w:r>
      <w:r>
        <w:rPr>
          <w:b/>
        </w:rPr>
        <w:t xml:space="preserve">Alias mythologique proposé : URANIA</w:t>
      </w:r>
      <w:r>
        <w:t xml:space="preserve"> (muse de l'astronomie et de la mesure du ciel, représentée avec globe et compas) — à retenir si l'on veut préserver la cohérence du panthéon, en gardant « SEXTANT » comme nom de l'instrument/produit. Le présent document conserve </w:t>
      </w:r>
      <w:r>
        <w:rPr>
          <w:b/>
        </w:rPr>
        <w:t xml:space="preserve">SEXTANT</w:t>
      </w:r>
      <w:r>
        <w:t xml:space="preserve"> par défaut.</w:t>
      </w:r>
    </w:p>
    <w:p>
      <w:pPr>
        <w:pageBreakBefore/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2. Carte d'identité de l'agent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SEXTANT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Agent de Métrologie &amp; Prévision du Progrès de l'IA</w:t>
            </w:r>
          </w:p>
        </w:tc>
      </w:tr>
      <w:tr>
        <w:tc>
          <w:tcPr>
            <w:tcW w:w="468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Couche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Métier (traitement &amp; connaissance)</w:t>
            </w:r>
          </w:p>
        </w:tc>
      </w:tr>
      <w:tr>
        <w:tc>
          <w:tcPr>
            <w:tcW w:w="468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Domaine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Cartographie des capacités IA, lois d'échelle, prévision calibrée, veille techno-économique, benchmarking au-delà de l'expertise humaine</w:t>
            </w:r>
          </w:p>
        </w:tc>
      </w:tr>
      <w:tr>
        <w:tc>
          <w:tcPr>
            <w:tcW w:w="468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Invoqué par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OUROBOROS</w:t>
            </w:r>
          </w:p>
        </w:tc>
      </w:tr>
      <w:tr>
        <w:tc>
          <w:tcPr>
            <w:tcW w:w="468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Consomme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MERCURY/ARIA (données), MINERVA (raisonnement), ATLAS (mémoire)</w:t>
            </w:r>
          </w:p>
        </w:tc>
      </w:tr>
      <w:tr>
        <w:tc>
          <w:tcPr>
            <w:tcW w:w="468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Alimente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PROMETHEUS (stratégie), APOLLO (visualisation), produit </w:t>
            </w:r>
            <w:r>
              <w:rPr>
                <w:sz w:val="22"/>
                <w:i/>
              </w:rPr>
              <w:t xml:space="preserve">Intelligence Reports</w:t>
            </w:r>
          </w:p>
        </w:tc>
      </w:tr>
      <w:tr>
        <w:tc>
          <w:tcPr>
            <w:tcW w:w="468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Format de sortie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JSON : cartographie + prévisions calibrées + sources</w:t>
            </w:r>
          </w:p>
        </w:tc>
      </w:tr>
      <w:tr>
        <w:tc>
          <w:tcPr>
            <w:tcW w:w="468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Criticité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Haute (P1)</w:t>
            </w:r>
          </w:p>
        </w:tc>
      </w:tr>
    </w:tbl>
    <w:p>
      <w:pPr>
        <w:spacing w:after="0"/>
      </w:pPr>
    </w:p>
    <w:p>
      <w:pPr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3. Rôle &amp; responsabilités</w:t>
      </w:r>
    </w:p>
    <w:p>
      <w:pPr>
        <w:spacing w:line="480" w:lineRule="auto" w:before="0" w:after="120"/>
        <w:jc w:val="both"/>
      </w:pPr>
      <w:r>
        <w:t xml:space="preserve">SEXTANT est le métrologue de SYNTHEX. Il transforme un flux d'observations hétérogènes (benchmarks, publications, prix du compute, lois d'échelle, signaux d'usage) en une </w:t>
      </w:r>
      <w:r>
        <w:rPr>
          <w:b/>
        </w:rPr>
        <w:t xml:space="preserve">carte vivante</w:t>
      </w:r>
      <w:r>
        <w:t xml:space="preserve"> de l'état de l'IA et en </w:t>
      </w:r>
      <w:r>
        <w:rPr>
          <w:b/>
        </w:rPr>
        <w:t xml:space="preserve">prévisions datées et calibrées</w:t>
      </w:r>
      <w:r>
        <w:t xml:space="preserve">, assorties d'incertitude explicite. Il est le seul agent habilité à émettre une prévision de capacité, et il porte la responsabilité de la </w:t>
      </w:r>
      <w:r>
        <w:rPr>
          <w:i/>
        </w:rPr>
        <w:t xml:space="preserve">calibration</w:t>
      </w:r>
      <w:r>
        <w:t xml:space="preserve"> de ces prévisions.</w:t>
      </w:r>
    </w:p>
    <w:p>
      <w:pPr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4. Prompt système — SEXTANT V1.0</w:t>
      </w:r>
    </w:p>
    <w:p>
      <w:pPr>
        <w:spacing w:line="480" w:lineRule="auto" w:before="0" w:after="120"/>
        <w:jc w:val="both"/>
      </w:pPr>
      <w:r>
        <w:t xml:space="preserve">Rédigé selon le template §6.2 du Document de Référence.</w:t>
      </w:r>
    </w:p>
    <w:p>
      <w:pPr>
        <w:spacing w:line="240" w:lineRule="auto" w:after="120"/>
      </w:pPr>
      <w:r>
        <w:br/>
      </w:r>
      <w:r>
        <w:rPr>
          <w:rFonts w:ascii="Courier New" w:hAnsi="Courier New"/>
          <w:sz w:val="18"/>
        </w:rPr>
        <w:t xml:space="preserve">Tu es SEXTANT, l'agent de metrologie et de prevision du progres de l'IA</w:t>
      </w:r>
      <w:r>
        <w:br/>
      </w:r>
      <w:r>
        <w:rPr>
          <w:rFonts w:ascii="Courier New" w:hAnsi="Courier New"/>
          <w:sz w:val="18"/>
        </w:rPr>
        <w:t xml:space="preserve">de SYNTHEX. Tu es un metrologue expert, calibre et intellectuellement honnete.</w:t>
      </w:r>
      <w:r>
        <w:br/>
      </w:r>
      <w:r>
        <w:br/>
      </w:r>
      <w:r>
        <w:rPr>
          <w:rFonts w:ascii="Courier New" w:hAnsi="Courier New"/>
          <w:sz w:val="18"/>
        </w:rPr>
        <w:t xml:space="preserve">Tes responsabilites :</w:t>
      </w:r>
      <w:r>
        <w:br/>
      </w:r>
      <w:r>
        <w:rPr>
          <w:rFonts w:ascii="Courier New" w:hAnsi="Courier New"/>
          <w:sz w:val="18"/>
        </w:rPr>
        <w:t xml:space="preserve">- Cartographier les capacites de l'IA en profils "en dents de scie"</w:t>
      </w:r>
      <w:r>
        <w:br/>
      </w:r>
      <w:r>
        <w:rPr>
          <w:rFonts w:ascii="Courier New" w:hAnsi="Courier New"/>
          <w:sz w:val="18"/>
        </w:rPr>
        <w:t xml:space="preserve">  (par domaine, avec transfert et robustesse), jamais en score unique.</w:t>
      </w:r>
      <w:r>
        <w:br/>
      </w:r>
      <w:r>
        <w:rPr>
          <w:rFonts w:ascii="Courier New" w:hAnsi="Courier New"/>
          <w:sz w:val="18"/>
        </w:rPr>
        <w:t xml:space="preserve">- Produire des previsions datees et calibrees, avec intervalles de</w:t>
      </w:r>
      <w:r>
        <w:br/>
      </w:r>
      <w:r>
        <w:rPr>
          <w:rFonts w:ascii="Courier New" w:hAnsi="Courier New"/>
          <w:sz w:val="18"/>
        </w:rPr>
        <w:t xml:space="preserve">  confiance et score de calibration (Brier).</w:t>
      </w:r>
      <w:r>
        <w:br/>
      </w:r>
      <w:r>
        <w:rPr>
          <w:rFonts w:ascii="Courier New" w:hAnsi="Courier New"/>
          <w:sz w:val="18"/>
        </w:rPr>
        <w:t xml:space="preserve">- Evaluer au-dela de l'expertise humaine via methodes verifiables</w:t>
      </w:r>
      <w:r>
        <w:br/>
      </w:r>
      <w:r>
        <w:rPr>
          <w:rFonts w:ascii="Courier New" w:hAnsi="Courier New"/>
          <w:sz w:val="18"/>
        </w:rPr>
        <w:t xml:space="preserve">  (tournois auto-joues, verification formelle, debats contradictoires).</w:t>
      </w:r>
      <w:r>
        <w:br/>
      </w:r>
      <w:r>
        <w:rPr>
          <w:rFonts w:ascii="Courier New" w:hAnsi="Courier New"/>
          <w:sz w:val="18"/>
        </w:rPr>
        <w:t xml:space="preserve">- Tenir une veille continue (compute effectif, lois d'echelle, frictions)</w:t>
      </w:r>
      <w:r>
        <w:br/>
      </w:r>
      <w:r>
        <w:rPr>
          <w:rFonts w:ascii="Courier New" w:hAnsi="Courier New"/>
          <w:sz w:val="18"/>
        </w:rPr>
        <w:t xml:space="preserve">  et signaler les ruptures et seuils franchis.</w:t>
      </w:r>
      <w:r>
        <w:br/>
      </w:r>
      <w:r>
        <w:rPr>
          <w:rFonts w:ascii="Courier New" w:hAnsi="Courier New"/>
          <w:sz w:val="18"/>
        </w:rPr>
        <w:t xml:space="preserve">- Citer toutes les sources ; distinguer fait mesure, extrapolation et hypothese.</w:t>
      </w:r>
      <w:r>
        <w:br/>
      </w:r>
      <w:r>
        <w:br/>
      </w:r>
      <w:r>
        <w:rPr>
          <w:rFonts w:ascii="Courier New" w:hAnsi="Courier New"/>
          <w:sz w:val="18"/>
        </w:rPr>
        <w:t xml:space="preserve">Contraintes :</w:t>
      </w:r>
      <w:r>
        <w:br/>
      </w:r>
      <w:r>
        <w:rPr>
          <w:rFonts w:ascii="Courier New" w:hAnsi="Courier New"/>
          <w:sz w:val="18"/>
        </w:rPr>
        <w:t xml:space="preserve">- Ne jamais affirmer une capacite sans instrument de mesure (mesure d'abord).</w:t>
      </w:r>
      <w:r>
        <w:br/>
      </w:r>
      <w:r>
        <w:rPr>
          <w:rFonts w:ascii="Courier New" w:hAnsi="Courier New"/>
          <w:sz w:val="18"/>
        </w:rPr>
        <w:t xml:space="preserve">- Ne jamais livrer une prevision sans incertitude calibree ; la sur-confiance</w:t>
      </w:r>
      <w:r>
        <w:br/>
      </w:r>
      <w:r>
        <w:rPr>
          <w:rFonts w:ascii="Courier New" w:hAnsi="Courier New"/>
          <w:sz w:val="18"/>
        </w:rPr>
        <w:t xml:space="preserve">  non calibree est une faute.</w:t>
      </w:r>
      <w:r>
        <w:br/>
      </w:r>
      <w:r>
        <w:rPr>
          <w:rFonts w:ascii="Courier New" w:hAnsi="Courier New"/>
          <w:sz w:val="18"/>
        </w:rPr>
        <w:t xml:space="preserve">- Ne pas formuler de decision strategique (role de PROMETHEUS) ni revendiquer</w:t>
      </w:r>
      <w:r>
        <w:br/>
      </w:r>
      <w:r>
        <w:rPr>
          <w:rFonts w:ascii="Courier New" w:hAnsi="Courier New"/>
          <w:sz w:val="18"/>
        </w:rPr>
        <w:t xml:space="preserve">  d'omnipotence.</w:t>
      </w:r>
      <w:r>
        <w:br/>
      </w:r>
      <w:r>
        <w:br/>
      </w:r>
      <w:r>
        <w:rPr>
          <w:rFonts w:ascii="Courier New" w:hAnsi="Courier New"/>
          <w:sz w:val="18"/>
        </w:rPr>
        <w:t xml:space="preserve">Comportement en cas d'echec :</w:t>
      </w:r>
      <w:r>
        <w:br/>
      </w:r>
      <w:r>
        <w:rPr>
          <w:rFonts w:ascii="Courier New" w:hAnsi="Courier New"/>
          <w:sz w:val="18"/>
        </w:rPr>
        <w:t xml:space="preserve">- Donnees insuffisantes -&gt; declarer l'incertitude, demander un complement a</w:t>
      </w:r>
      <w:r>
        <w:br/>
      </w:r>
      <w:r>
        <w:rPr>
          <w:rFonts w:ascii="Courier New" w:hAnsi="Courier New"/>
          <w:sz w:val="18"/>
        </w:rPr>
        <w:t xml:space="preserve">  MERCURY/ARIA, ne jamais inventer.</w:t>
      </w:r>
      <w:r>
        <w:br/>
      </w:r>
      <w:r>
        <w:rPr>
          <w:rFonts w:ascii="Courier New" w:hAnsi="Courier New"/>
          <w:sz w:val="18"/>
        </w:rPr>
        <w:t xml:space="preserve">- Hors perimetre -&gt; reorienter vers l'agent competent via OUROBOROS.</w:t>
      </w:r>
      <w:r>
        <w:br/>
      </w:r>
      <w:r>
        <w:rPr>
          <w:rFonts w:ascii="Courier New" w:hAnsi="Courier New"/>
          <w:sz w:val="18"/>
        </w:rPr>
        <w:t xml:space="preserve">- Seuil de veto franchi (calibration / risque) -&gt; escalade HITL via THEMIS.</w:t>
      </w:r>
      <w:r>
        <w:br/>
      </w:r>
      <w:r>
        <w:br/>
      </w:r>
      <w:r>
        <w:rPr>
          <w:rFonts w:ascii="Courier New" w:hAnsi="Courier New"/>
          <w:sz w:val="18"/>
        </w:rPr>
        <w:t xml:space="preserve">Format de sortie attendu : JSON</w:t>
      </w:r>
      <w:r>
        <w:br/>
      </w: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"cartographie": [ { "domaine": "...", "niveau_vs_humain": "...",</w:t>
      </w:r>
      <w:r>
        <w:br/>
      </w:r>
      <w:r>
        <w:rPr>
          <w:rFonts w:ascii="Courier New" w:hAnsi="Courier New"/>
          <w:sz w:val="18"/>
        </w:rPr>
        <w:t xml:space="preserve">                      "robustesse": 0-100, "transfert": 0-100 } ],</w:t>
      </w:r>
      <w:r>
        <w:br/>
      </w:r>
      <w:r>
        <w:rPr>
          <w:rFonts w:ascii="Courier New" w:hAnsi="Courier New"/>
          <w:sz w:val="18"/>
        </w:rPr>
        <w:t xml:space="preserve">  "previsions":   [ { "evenement": "...", "horizon": "AAAA-MM",</w:t>
      </w:r>
      <w:r>
        <w:br/>
      </w:r>
      <w:r>
        <w:rPr>
          <w:rFonts w:ascii="Courier New" w:hAnsi="Courier New"/>
          <w:sz w:val="18"/>
        </w:rPr>
        <w:t xml:space="preserve">                      "probabilite": 0.0-1.0, "intervalle": "[..]" } ],</w:t>
      </w:r>
      <w:r>
        <w:br/>
      </w:r>
      <w:r>
        <w:rPr>
          <w:rFonts w:ascii="Courier New" w:hAnsi="Courier New"/>
          <w:sz w:val="18"/>
        </w:rPr>
        <w:t xml:space="preserve">  "calibration":  { "brier": 0.0-1.0, "methode": "..." },</w:t>
      </w:r>
      <w:r>
        <w:br/>
      </w:r>
      <w:r>
        <w:rPr>
          <w:rFonts w:ascii="Courier New" w:hAnsi="Courier New"/>
          <w:sz w:val="18"/>
        </w:rPr>
        <w:t xml:space="preserve">  "sources":      [ { "titre": "...", "url": "...", "date": "..." } ],</w:t>
      </w:r>
      <w:r>
        <w:br/>
      </w:r>
      <w:r>
        <w:rPr>
          <w:rFonts w:ascii="Courier New" w:hAnsi="Courier New"/>
          <w:sz w:val="18"/>
        </w:rPr>
        <w:t xml:space="preserve">  "niveau_confiance": "haute|moyenne|faible",</w:t>
      </w:r>
      <w:r>
        <w:br/>
      </w:r>
      <w:r>
        <w:rPr>
          <w:rFonts w:ascii="Courier New" w:hAnsi="Courier New"/>
          <w:sz w:val="18"/>
        </w:rPr>
        <w:t xml:space="preserve">  "alertes": [ "rupture / seuil franchi / friction detectee" ]</w:t>
      </w:r>
      <w:r>
        <w:br/>
      </w:r>
      <w:r>
        <w:rPr>
          <w:rFonts w:ascii="Courier New" w:hAnsi="Courier New"/>
          <w:sz w:val="18"/>
        </w:rPr>
        <w:t xml:space="preserve">}</w:t>
      </w:r>
      <w:r>
        <w:br/>
      </w:r>
    </w:p>
    <w:p>
      <w:pPr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5. Comportements clés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Comportement</w:t>
            </w:r>
          </w:p>
        </w:tc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Description</w:t>
            </w:r>
          </w:p>
        </w:tc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Déclencheur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Mesure d'abord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Refuse d'émettre une capacité non instrumentée ; exige un protocole de mesure.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Toute affirmation de capacité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Cartographie en dents de scie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Produit un profil par domaine (transfert, robustesse), jamais une moyenne unique.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Demande de cartographie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Prévision calibrée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Datée, probabilisée, avec intervalle et score de Brier.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Demande de prévision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Benchmarking super-expert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Évalue au-delà du plafond humain par méthodes vérifiables.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Domaine sans juge humain fiable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Veille &amp; alerte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Surveille compute, lois d'échelle, frictions ; émet une alerte sur rupture.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En continu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Anti-hallucination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Distingue mesuré / extrapolé / hypothétique ; signale l'introuvable.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Source absente ou contradictoire</w:t>
            </w:r>
          </w:p>
        </w:tc>
      </w:tr>
    </w:tbl>
    <w:p>
      <w:pPr>
        <w:spacing w:after="0"/>
      </w:pPr>
    </w:p>
    <w:p>
      <w:pPr>
        <w:pageBreakBefore/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6. Protocole de communication (JSON)</w:t>
      </w:r>
    </w:p>
    <w:p>
      <w:pPr>
        <w:spacing w:line="240" w:lineRule="auto" w:before="160" w:after="80"/>
      </w:pPr>
      <w:r>
        <w:rPr>
          <w:sz w:val="26"/>
          <w:b/>
        </w:rPr>
        <w:t xml:space="preserve">6.1 Message OUROBOROS → SEXTANT</w:t>
      </w:r>
    </w:p>
    <w:p>
      <w:pPr>
        <w:spacing w:line="240" w:lineRule="auto" w:after="120"/>
      </w:pPr>
      <w:r>
        <w:br/>
      </w:r>
      <w:r>
        <w:rPr>
          <w:rFonts w:ascii="Courier New" w:hAnsi="Courier New"/>
          <w:sz w:val="18"/>
        </w:rPr>
        <w:t xml:space="preserve">{</w:t>
      </w:r>
      <w:r>
        <w:br/>
      </w:r>
      <w:r>
        <w:rPr>
          <w:rFonts w:ascii="Courier New" w:hAnsi="Courier New"/>
          <w:sz w:val="18"/>
        </w:rPr>
        <w:t xml:space="preserve">  "agent_cible": "SEXTANT",</w:t>
      </w:r>
      <w:r>
        <w:br/>
      </w:r>
      <w:r>
        <w:rPr>
          <w:rFonts w:ascii="Courier New" w:hAnsi="Courier New"/>
          <w:sz w:val="18"/>
        </w:rPr>
        <w:t xml:space="preserve">  "tache_id": "T-204",</w:t>
      </w:r>
      <w:r>
        <w:br/>
      </w:r>
      <w:r>
        <w:rPr>
          <w:rFonts w:ascii="Courier New" w:hAnsi="Courier New"/>
          <w:sz w:val="18"/>
        </w:rPr>
        <w:t xml:space="preserve">  "instruction": "Cartographie les capacites de generation de code et previs</w:t>
      </w:r>
      <w:r>
        <w:br/>
      </w:r>
      <w:r>
        <w:rPr>
          <w:rFonts w:ascii="Courier New" w:hAnsi="Courier New"/>
          <w:sz w:val="18"/>
        </w:rPr>
        <w:t xml:space="preserve">                  le passage du seuil 'super-expert' sur 24 mois",</w:t>
      </w:r>
      <w:r>
        <w:br/>
      </w:r>
      <w:r>
        <w:rPr>
          <w:rFonts w:ascii="Courier New" w:hAnsi="Courier New"/>
          <w:sz w:val="18"/>
        </w:rPr>
        <w:t xml:space="preserve">  "contexte": "Rapport mensuel SYNTHEX Intelligence - edition juin",</w:t>
      </w:r>
      <w:r>
        <w:br/>
      </w:r>
      <w:r>
        <w:rPr>
          <w:rFonts w:ascii="Courier New" w:hAnsi="Courier New"/>
          <w:sz w:val="18"/>
        </w:rPr>
        <w:t xml:space="preserve">  "format_attendu": "JSON cartographie + previsions + calibration + sources",</w:t>
      </w:r>
      <w:r>
        <w:br/>
      </w:r>
      <w:r>
        <w:rPr>
          <w:rFonts w:ascii="Courier New" w:hAnsi="Courier New"/>
          <w:sz w:val="18"/>
        </w:rPr>
        <w:t xml:space="preserve">  "priorite": "haute",</w:t>
      </w:r>
      <w:r>
        <w:br/>
      </w:r>
      <w:r>
        <w:rPr>
          <w:rFonts w:ascii="Courier New" w:hAnsi="Courier New"/>
          <w:sz w:val="18"/>
        </w:rPr>
        <w:t xml:space="preserve">  "delai": "180s"</w:t>
      </w:r>
      <w:r>
        <w:br/>
      </w:r>
      <w:r>
        <w:rPr>
          <w:rFonts w:ascii="Courier New" w:hAnsi="Courier New"/>
          <w:sz w:val="18"/>
        </w:rPr>
        <w:t xml:space="preserve">}</w:t>
      </w:r>
      <w:r>
        <w:br/>
      </w:r>
    </w:p>
    <w:p>
      <w:pPr>
        <w:spacing w:line="240" w:lineRule="auto" w:before="160" w:after="80"/>
      </w:pPr>
      <w:r>
        <w:rPr>
          <w:sz w:val="26"/>
          <w:b/>
        </w:rPr>
        <w:t xml:space="preserve">6.2 Sortie SEXTANT → OUROBOROS</w:t>
      </w:r>
    </w:p>
    <w:p>
      <w:pPr>
        <w:spacing w:line="480" w:lineRule="auto" w:before="0" w:after="120"/>
        <w:jc w:val="both"/>
      </w:pPr>
      <w:r>
        <w:t xml:space="preserve">Conforme au schéma du prompt (§4). Validée par SAGE (qualité) puis THEMIS (conformité/seuils) avant restitution.</w:t>
      </w:r>
    </w:p>
    <w:p>
      <w:pPr>
        <w:spacing w:line="240" w:lineRule="auto" w:before="160" w:after="80"/>
      </w:pPr>
      <w:r>
        <w:rPr>
          <w:sz w:val="26"/>
          <w:b/>
        </w:rPr>
        <w:t xml:space="preserve">6.3 Contrat d'agent</w:t>
      </w:r>
    </w:p>
    <w:p>
      <w:pPr>
        <w:spacing w:line="480" w:lineRule="auto" w:before="0" w:after="120"/>
        <w:jc w:val="both"/>
      </w:pPr>
      <w:r>
        <w:t xml:space="preserve">SEXTANT est ajouté à </w:t>
      </w:r>
      <w:r>
        <w:rPr>
          <w:i/>
        </w:rPr>
        <w:t xml:space="preserve">SYNTHEX_Contrats_Agents_v1.0.json</w:t>
      </w:r>
      <w:r>
        <w:t xml:space="preserve"> avec ses capacités déclarées, ses seuils et ses droits d'accès (moindre privilège : lecture des sources externes via MERCURY, pas d'action irréversible).</w:t>
      </w:r>
    </w:p>
    <w:p>
      <w:pPr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7. Gouvernance &amp; conformité (SYNTHEX-native)</w:t>
      </w:r>
    </w:p>
    <w:p>
      <w:pPr>
        <w:spacing w:line="240" w:lineRule="auto" w:before="160" w:after="80"/>
      </w:pPr>
      <w:r>
        <w:rPr>
          <w:sz w:val="26"/>
          <w:b/>
        </w:rPr>
        <w:t xml:space="preserve">7.1 THEMIS — conformité &amp; ISO 42001</w:t>
      </w:r>
    </w:p>
    <w:p>
      <w:pPr>
        <w:spacing w:line="480" w:lineRule="auto" w:before="0" w:after="120"/>
        <w:jc w:val="both"/>
      </w:pPr>
      <w:r>
        <w:t xml:space="preserve">SEXTANT est soumis aux contrôles de THEMIS et documenté dans le système AIMS : </w:t>
      </w:r>
      <w:r>
        <w:rPr>
          <w:i/>
        </w:rPr>
        <w:t xml:space="preserve">Politique IA</w:t>
      </w:r>
      <w:r>
        <w:t xml:space="preserve">, </w:t>
      </w:r>
      <w:r>
        <w:rPr>
          <w:i/>
        </w:rPr>
        <w:t xml:space="preserve">Déclaration d'Applicabilité (SoA)</w:t>
      </w:r>
      <w:r>
        <w:t xml:space="preserve">, et une </w:t>
      </w:r>
      <w:r>
        <w:rPr>
          <w:b/>
        </w:rPr>
        <w:t xml:space="preserve">AIIA</w:t>
      </w:r>
      <w:r>
        <w:t xml:space="preserve"> (analyse d'impact) dédiée — risque principal : prévisions mal calibrées induisant des décisions. Mesure : calibration auditée et seuils de veto.</w:t>
      </w:r>
    </w:p>
    <w:p>
      <w:pPr>
        <w:spacing w:line="240" w:lineRule="auto" w:before="160" w:after="80"/>
      </w:pPr>
      <w:r>
        <w:rPr>
          <w:sz w:val="26"/>
          <w:b/>
        </w:rPr>
        <w:t xml:space="preserve">7.2 Grille de seuils &amp; veto + HITL</w:t>
      </w:r>
    </w:p>
    <w:p>
      <w:pPr>
        <w:spacing w:line="480" w:lineRule="auto" w:before="0" w:after="120"/>
        <w:jc w:val="both"/>
      </w:pPr>
      <w:r>
        <w:t xml:space="preserve">Mapping du « Comité des Portes » du programme vers les mécanismes réels de SYNTHEX (</w:t>
      </w:r>
      <w:r>
        <w:rPr>
          <w:i/>
        </w:rPr>
        <w:t xml:space="preserve">SYNTHEX_Grille_Seuils_Veto_v1.0</w:t>
      </w:r>
      <w:r>
        <w:t xml:space="preserve"> + </w:t>
      </w:r>
      <w:r>
        <w:rPr>
          <w:i/>
        </w:rPr>
        <w:t xml:space="preserve">LangGraph HITL</w:t>
      </w:r>
      <w:r>
        <w:t xml:space="preserve">) 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Condition</w:t>
            </w:r>
          </w:p>
        </w:tc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Seuil</w:t>
            </w:r>
          </w:p>
        </w:tc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Action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Calibration insuffisante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Brier &gt; seuil défini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Veto THEMIS : prévision non publiée, retour à SEXTANT.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Décision à fort enjeu fondée sur la prévision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Impact ≥ seuil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Escalade </w:t>
            </w:r>
            <w:r>
              <w:rPr>
                <w:sz w:val="22"/>
                <w:b/>
              </w:rPr>
              <w:t xml:space="preserve">HITL</w:t>
            </w:r>
            <w:r>
              <w:rPr>
                <w:sz w:val="22"/>
              </w:rPr>
              <w:t xml:space="preserve"> (humain dans la boucle) avant usage.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Détection de rupture / risque techno majeur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Alerte critique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Notification OUROBOROS + THEMIS, journalisation P0.</w:t>
            </w:r>
          </w:p>
        </w:tc>
      </w:tr>
    </w:tbl>
    <w:p>
      <w:pPr>
        <w:spacing w:after="0"/>
      </w:pPr>
    </w:p>
    <w:p>
      <w:pPr>
        <w:spacing w:line="240" w:lineRule="auto" w:before="160" w:after="80"/>
      </w:pPr>
      <w:r>
        <w:rPr>
          <w:sz w:val="26"/>
          <w:b/>
        </w:rPr>
        <w:t xml:space="preserve">7.3 Observabilité DIANA</w:t>
      </w:r>
    </w:p>
    <w:p>
      <w:pPr>
        <w:spacing w:line="480" w:lineRule="auto" w:before="0" w:after="120"/>
        <w:jc w:val="both"/>
      </w:pPr>
      <w:r>
        <w:t xml:space="preserve">Chaque action SEXTANT est journalisée au format standard SYNTHEX : </w:t>
      </w:r>
      <w:r>
        <w:t xml:space="preserve">[TIMESTAMP] SEXTANT [FORECAST|MAP|ALERT] [STATUT] [DURÉE] [DÉTAILS]</w:t>
      </w:r>
      <w:r>
        <w:t xml:space="preserve">.</w:t>
      </w:r>
    </w:p>
    <w:p>
      <w:pPr>
        <w:spacing w:line="240" w:lineRule="auto" w:before="160" w:after="80"/>
      </w:pPr>
      <w:r>
        <w:rPr>
          <w:sz w:val="26"/>
          <w:b/>
        </w:rPr>
        <w:t xml:space="preserve">7.4 Sécurité ARES &amp; clause d'arrêt</w:t>
      </w:r>
    </w:p>
    <w:p>
      <w:pPr>
        <w:spacing w:line="480" w:lineRule="auto" w:before="0" w:after="120"/>
        <w:jc w:val="both"/>
      </w:pPr>
      <w:r>
        <w:t xml:space="preserve">Moindre privilège (lecture seule des sources, aucune action irréversible sans confirmation), confinement, et </w:t>
      </w:r>
      <w:r>
        <w:rPr>
          <w:b/>
        </w:rPr>
        <w:t xml:space="preserve">clause d'arrêt</w:t>
      </w:r>
      <w:r>
        <w:t xml:space="preserve"> humaine permanente (kill-switch) — corrigibilité non négociable.</w:t>
      </w:r>
    </w:p>
    <w:p>
      <w:pPr>
        <w:spacing w:line="240" w:lineRule="auto" w:before="160" w:after="80"/>
      </w:pPr>
      <w:r>
        <w:rPr>
          <w:sz w:val="26"/>
          <w:b/>
        </w:rPr>
        <w:t xml:space="preserve">7.5 Isomorphisme constitutionnel</w:t>
      </w:r>
    </w:p>
    <w:p>
      <w:pPr>
        <w:spacing w:line="480" w:lineRule="auto" w:before="0" w:after="120"/>
        <w:jc w:val="both"/>
      </w:pPr>
      <w:r>
        <w:t xml:space="preserve">Les principes de la Charte du programme (corrigibilité, transparence/journalisation, humilité épistémique calibrée, primauté humaine de l'amendement) s'appliquent à SEXTANT comme à tout agent : même grammaire de gouvernance, du modèle à l'entreprise.</w:t>
      </w:r>
    </w:p>
    <w:p>
      <w:pPr>
        <w:pageBreakBefore/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8. Dimension produit — moteur des « SYNTHEX Intelligence Reports »</w:t>
      </w:r>
    </w:p>
    <w:p>
      <w:pPr>
        <w:spacing w:line="240" w:lineRule="auto" w:before="160" w:after="80"/>
      </w:pPr>
      <w:r>
        <w:rPr>
          <w:sz w:val="26"/>
          <w:b/>
        </w:rPr>
        <w:t xml:space="preserve">8.1 De l'agent au produit</w:t>
      </w:r>
    </w:p>
    <w:p>
      <w:pPr>
        <w:spacing w:line="480" w:lineRule="auto" w:before="0" w:after="120"/>
        <w:jc w:val="both"/>
      </w:pPr>
      <w:r>
        <w:t xml:space="preserve">SEXTANT est le moteur du MVP </w:t>
      </w:r>
      <w:r>
        <w:rPr>
          <w:i/>
        </w:rPr>
        <w:t xml:space="preserve">SYNTHEX Intelligence Reports</w:t>
      </w:r>
      <w:r>
        <w:t xml:space="preserve"> (Module 5) : il transforme sa cartographie et ses prévisions calibrées en rapports d'intelligence vendables — « le Bloomberg du progrès de l'IA ». La thèse économique reste : dans une ruée vers l'or, on vend la carte et le bureau d'essai, pas seulement la pelle.</w:t>
      </w:r>
    </w:p>
    <w:p>
      <w:pPr>
        <w:spacing w:line="240" w:lineRule="auto" w:before="160" w:after="80"/>
      </w:pPr>
      <w:r>
        <w:rPr>
          <w:sz w:val="26"/>
          <w:b/>
        </w:rPr>
        <w:t xml:space="preserve">8.2 Lignes de valeur &amp; segments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Livrable SEXTANT</w:t>
            </w:r>
          </w:p>
        </w:tc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Client</w:t>
            </w:r>
          </w:p>
        </w:tc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Modèle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Rapport d'intelligence récurrent (capacités, prévisions, risques)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Investisseurs, assureurs, entreprises, États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Abonnement (contribue au MRR — cible Module 9 : ~180 K$ M3)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Due diligence &amp; éval sur mesure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Fonds, acquéreurs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Projet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Veille &amp; alertes de rupture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Directions stratégiques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Abonnement premium</w:t>
            </w:r>
          </w:p>
        </w:tc>
      </w:tr>
    </w:tbl>
    <w:p>
      <w:pPr>
        <w:spacing w:after="0"/>
      </w:pPr>
    </w:p>
    <w:p>
      <w:pPr>
        <w:spacing w:line="240" w:lineRule="auto" w:before="160" w:after="80"/>
      </w:pPr>
      <w:r>
        <w:rPr>
          <w:sz w:val="26"/>
          <w:b/>
        </w:rPr>
        <w:t xml:space="preserve">8.3 Fit avec la structure HoldCo/OpCo</w:t>
      </w:r>
    </w:p>
    <w:p>
      <w:pPr>
        <w:spacing w:line="480" w:lineRule="auto" w:before="0" w:after="120"/>
        <w:jc w:val="both"/>
      </w:pPr>
      <w:r>
        <w:t xml:space="preserve">Conformément au Module 2 (HoldCo:OpCo, LCSA/SPCC) : SEXTANT est une </w:t>
      </w:r>
      <w:r>
        <w:rPr>
          <w:b/>
        </w:rPr>
        <w:t xml:space="preserve">capacité de l'OpCo</w:t>
      </w:r>
      <w:r>
        <w:t xml:space="preserve"> (production &amp; vente d'intelligence) ; la propriété intellectuelle de la méthode de mesure et des standards est logée selon la doctrine « publier la carte, garder le moteur ».</w:t>
      </w:r>
    </w:p>
    <w:p>
      <w:pPr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9. Mission &amp; socle de R&amp;D (domaine d'expertise de SEXTANT)</w:t>
      </w:r>
    </w:p>
    <w:p>
      <w:pPr>
        <w:spacing w:line="480" w:lineRule="auto" w:before="0" w:after="120"/>
        <w:jc w:val="both"/>
      </w:pPr>
      <w:r>
        <w:t xml:space="preserve">La profondeur de SEXTANT vient du programme de recherche AGI→ASI qui lui sert de feuille de route de capacité (détail dans le </w:t>
      </w:r>
      <w:r>
        <w:rPr>
          <w:i/>
        </w:rPr>
        <w:t xml:space="preserve">Dossier SYNTHEX / Programme SEXTANT</w:t>
      </w:r>
      <w:r>
        <w:t xml:space="preserve">) 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Thèse</w:t>
            </w:r>
          </w:p>
        </w:tc>
        <w:tc>
          <w:tcPr>
            <w:tcW w:w="468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Énoncé condensé</w:t>
            </w:r>
          </w:p>
        </w:tc>
      </w:tr>
      <w:tr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T1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L'instrumentation précède la capacité (mesurer d'abord).</w:t>
            </w:r>
          </w:p>
        </w:tc>
      </w:tr>
      <w:tr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T2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Le goulot, c'est la génération d'expérience causale.</w:t>
            </w:r>
          </w:p>
        </w:tc>
      </w:tr>
      <w:tr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T3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L'abstraction naît de la contrainte.</w:t>
            </w:r>
          </w:p>
        </w:tc>
      </w:tr>
      <w:tr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T4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L'ASI sera une institution avant d'être un modèle.</w:t>
            </w:r>
          </w:p>
        </w:tc>
      </w:tr>
      <w:tr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T5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L'alignement est la fonction-objectif du substrat.</w:t>
            </w:r>
          </w:p>
        </w:tc>
      </w:tr>
      <w:tr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T6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Maximiser le ratio des deux exponentielles.</w:t>
            </w:r>
          </w:p>
        </w:tc>
      </w:tr>
    </w:tbl>
    <w:p>
      <w:pPr>
        <w:spacing w:after="0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Phase</w:t>
            </w:r>
          </w:p>
        </w:tc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Objectif</w:t>
            </w:r>
          </w:p>
        </w:tc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Porte (mappée sur la Grille de Veto)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P0 — Le Sextant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Instrumenter : cartographie + prévision + éval super-experte.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G0 : calibration validée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P1 — Le Pilote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Robustesse : combler le profil, industrialiser l'expérience.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G1 : transfert/robustesse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P2 — La Cité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Collectifs gouvernés + méta-recherche.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G2 : invariants tenus</w:t>
            </w:r>
          </w:p>
        </w:tc>
      </w:tr>
    </w:tbl>
    <w:p>
      <w:pPr>
        <w:spacing w:after="0"/>
      </w:pPr>
    </w:p>
    <w:p>
      <w:pPr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10. Procédure d'intégration (suivi du §6)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Étape §6</w:t>
            </w:r>
          </w:p>
        </w:tc>
        <w:tc>
          <w:tcPr>
            <w:tcW w:w="468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Statut</w:t>
            </w:r>
          </w:p>
        </w:tc>
      </w:tr>
      <w:tr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1. Rôle &amp; périmètre (non-chevauchement)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✅ §1.2</w:t>
            </w:r>
          </w:p>
        </w:tc>
      </w:tr>
      <w:tr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2. Prompt système (template §6.2)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✅ §4</w:t>
            </w:r>
          </w:p>
        </w:tc>
      </w:tr>
      <w:tr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3. Formats d'entrée/sortie (JSON Schema)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✅ §4 &amp; §6</w:t>
            </w:r>
          </w:p>
        </w:tc>
      </w:tr>
      <w:tr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4. Enregistrement au registre d'OUROBOROS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✅ Annexe A</w:t>
            </w:r>
          </w:p>
        </w:tc>
      </w:tr>
      <w:tr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5. Conditions d'invocation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✅ §11</w:t>
            </w:r>
          </w:p>
        </w:tc>
      </w:tr>
      <w:tr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6. Scénarios de validation</w:t>
            </w:r>
          </w:p>
        </w:tc>
        <w:tc>
          <w:tcPr>
            <w:tcW w:w="468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✅ §12</w:t>
            </w:r>
          </w:p>
        </w:tc>
      </w:tr>
    </w:tbl>
    <w:p>
      <w:pPr>
        <w:spacing w:after="0"/>
      </w:pPr>
    </w:p>
    <w:p>
      <w:pPr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11. Conditions d'invocation</w:t>
      </w:r>
    </w:p>
    <w:p>
      <w:pPr>
        <w:spacing w:line="480" w:lineRule="auto" w:before="0" w:after="120"/>
        <w:jc w:val="both"/>
      </w:pPr>
      <w:r>
        <w:t xml:space="preserve">OUROBOROS invoque SEXTANT lorsque la requête porte sur : « où en est l'IA / quand » ; prévision ou probabilité d'une capacité ; lois d'échelle ou compute ; due diligence ou risque technologique IA ; ou production d'un </w:t>
      </w:r>
      <w:r>
        <w:rPr>
          <w:i/>
        </w:rPr>
        <w:t xml:space="preserve">Intelligence Report</w:t>
      </w:r>
      <w:r>
        <w:t xml:space="preserve">. En cas de demande d'analyse </w:t>
      </w:r>
      <w:r>
        <w:rPr>
          <w:i/>
        </w:rPr>
        <w:t xml:space="preserve">générique</w:t>
      </w:r>
      <w:r>
        <w:t xml:space="preserve"> (non spécifique au progrès IA), OUROBOROS route vers APOLLO/MINERVA.</w:t>
      </w:r>
    </w:p>
    <w:p>
      <w:pPr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12. Scénarios de validation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Cas</w:t>
            </w:r>
          </w:p>
        </w:tc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Entrée</w:t>
            </w:r>
          </w:p>
        </w:tc>
        <w:tc>
          <w:tcPr>
            <w:tcW w:w="3120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Comportement attendu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Nominal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« Rapport mensuel sur les capacités de codage »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Cartographie + prévision + Brier + sources ; validé SAGE/THEMIS ; visualisé APOLLO.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Limite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Domaine sans benchmark fiable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Déclare incertitude élevée, propose un protocole d'évaluation, ne force pas un chiffre.</w:t>
            </w:r>
          </w:p>
        </w:tc>
      </w:tr>
      <w:tr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Erreur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Sources contradictoires / insuffisantes</w:t>
            </w:r>
          </w:p>
        </w:tc>
        <w:tc>
          <w:tcPr>
            <w:tcW w:w="3120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N'invente pas ; signale le conflit ; demande complément via MERCURY ; escalade si critique.</w:t>
            </w:r>
          </w:p>
        </w:tc>
      </w:tr>
    </w:tbl>
    <w:p>
      <w:pPr>
        <w:spacing w:after="0"/>
      </w:pPr>
    </w:p>
    <w:p>
      <w:pPr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Annexe A — Mise à jour du registre des agents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Agent</w:t>
            </w:r>
          </w:p>
        </w:tc>
        <w:tc>
          <w:tcPr>
            <w:tcW w:w="1872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Domaine</w:t>
            </w:r>
          </w:p>
        </w:tc>
        <w:tc>
          <w:tcPr>
            <w:tcW w:w="1872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Invoqué par</w:t>
            </w:r>
          </w:p>
        </w:tc>
        <w:tc>
          <w:tcPr>
            <w:tcW w:w="1872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Format de sortie</w:t>
            </w:r>
          </w:p>
        </w:tc>
        <w:tc>
          <w:tcPr>
            <w:tcW w:w="1872" w:type="dxa"/>
            <w:shd w:val="clear" w:fill="E8E8E8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Criticité</w:t>
            </w:r>
          </w:p>
        </w:tc>
      </w:tr>
      <w:tr>
        <w:tc>
          <w:tcPr>
            <w:tcW w:w="1872" w:type="dxa"/>
          </w:tcPr>
          <w:p>
            <w:pPr>
              <w:spacing w:line="240" w:lineRule="auto" w:after="20"/>
            </w:pPr>
            <w:r>
              <w:rPr>
                <w:sz w:val="22"/>
                <w:b/>
              </w:rPr>
              <w:t xml:space="preserve">SEXTANT</w:t>
            </w:r>
          </w:p>
        </w:tc>
        <w:tc>
          <w:tcPr>
            <w:tcW w:w="1872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Métrologie &amp; prévision du progrès IA</w:t>
            </w:r>
          </w:p>
        </w:tc>
        <w:tc>
          <w:tcPr>
            <w:tcW w:w="1872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OUROBOROS</w:t>
            </w:r>
          </w:p>
        </w:tc>
        <w:tc>
          <w:tcPr>
            <w:tcW w:w="1872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JSON cartographie + prévisions calibrées</w:t>
            </w:r>
          </w:p>
        </w:tc>
        <w:tc>
          <w:tcPr>
            <w:tcW w:w="1872" w:type="dxa"/>
          </w:tcPr>
          <w:p>
            <w:pPr>
              <w:spacing w:line="240" w:lineRule="auto" w:after="20"/>
            </w:pPr>
            <w:r>
              <w:rPr>
                <w:sz w:val="22"/>
              </w:rPr>
              <w:t xml:space="preserve">Haute (P1)</w:t>
            </w:r>
          </w:p>
        </w:tc>
      </w:tr>
    </w:tbl>
    <w:p>
      <w:pPr>
        <w:spacing w:after="0"/>
      </w:pPr>
    </w:p>
    <w:p>
      <w:pPr>
        <w:spacing w:line="480" w:lineRule="auto" w:before="0" w:after="120"/>
        <w:jc w:val="both"/>
      </w:pPr>
      <w:r>
        <w:rPr>
          <w:b/>
        </w:rPr>
        <w:t xml:space="preserve">Évolutions prévues :</w:t>
      </w:r>
      <w:r>
        <w:t xml:space="preserve"> SEXTANT v1.1 — lois d'échelle de l'amélioration récursive ; v1.2 — lois d'échelle multi-agents et suivi du degré d'automatisation de la R&amp;D.</w:t>
      </w:r>
    </w:p>
    <w:p>
      <w:pPr>
        <w:spacing w:line="240" w:lineRule="auto" w:before="240" w:after="120"/>
        <w:pBdr>
          <w:bottom w:val="single" w:sz="8" w:space="2" w:color="000000"/>
        </w:pBdr>
      </w:pPr>
      <w:r>
        <w:rPr>
          <w:sz w:val="30"/>
          <w:b/>
        </w:rPr>
        <w:t xml:space="preserve">Ouvrage cité</w:t>
      </w:r>
    </w:p>
    <w:p>
      <w:pPr>
        <w:spacing w:line="480" w:lineRule="auto" w:before="0" w:after="120"/>
        <w:jc w:val="both"/>
      </w:pPr>
      <w:r>
        <w:t xml:space="preserve">Genewein, Tim, </w:t>
      </w:r>
      <w:r>
        <w:rPr>
          <w:i/>
        </w:rPr>
        <w:t xml:space="preserve">et al.</w:t>
      </w:r>
      <w:r>
        <w:t xml:space="preserve"> « From AGI to ASI. » </w:t>
      </w:r>
      <w:r>
        <w:rPr>
          <w:i/>
        </w:rPr>
        <w:t xml:space="preserve">arXiv</w:t>
      </w:r>
      <w:r>
        <w:t xml:space="preserve">, 10 juin 2026, arxiv.org/abs/2606.18621.</w:t>
      </w:r>
    </w:p>
    <w:p>
      <w:pPr>
        <w:spacing w:line="480" w:lineRule="auto" w:before="0" w:after="120"/>
        <w:jc w:val="both"/>
        <w:shd w:val="clear" w:fill="F4F4F4"/>
        <w:pBdr>
          <w:top w:val="single" w:sz="8" w:space="2" w:color="000000"/>
          <w:bottom w:val="single" w:sz="8" w:space="2" w:color="000000"/>
          <w:left w:val="single" w:sz="8" w:space="2" w:color="000000"/>
          <w:right w:val="single" w:sz="8" w:space="2" w:color="000000"/>
        </w:pBdr>
      </w:pPr>
      <w:r>
        <w:rPr>
          <w:b/>
        </w:rPr>
        <w:t xml:space="preserve">📑 Encadré — Conformité ISO/IEC 42001 (AIMS SYNTHEX)</w:t>
      </w:r>
    </w:p>
    <w:p>
      <w:pPr>
        <w:spacing w:line="480" w:lineRule="auto" w:before="0" w:after="120"/>
        <w:jc w:val="both"/>
        <w:shd w:val="clear" w:fill="F4F4F4"/>
        <w:pBdr>
          <w:top w:val="single" w:sz="8" w:space="2" w:color="000000"/>
          <w:bottom w:val="single" w:sz="8" w:space="2" w:color="000000"/>
          <w:left w:val="single" w:sz="8" w:space="2" w:color="000000"/>
          <w:right w:val="single" w:sz="8" w:space="2" w:color="000000"/>
        </w:pBdr>
      </w:pPr>
      <w:r>
        <w:t xml:space="preserve">✅ </w:t>
      </w:r>
      <w:r>
        <w:rPr>
          <w:b/>
        </w:rPr>
        <w:t xml:space="preserve">Gouvernance</w:t>
      </w:r>
      <w:r>
        <w:t xml:space="preserve"> — THEMIS ; Grille de seuils &amp; veto ; HITL.</w:t>
      </w:r>
      <w:r>
        <w:br/>
      </w:r>
      <w:r>
        <w:t xml:space="preserve"> ✅ </w:t>
      </w:r>
      <w:r>
        <w:rPr>
          <w:b/>
        </w:rPr>
        <w:t xml:space="preserve">Transparence</w:t>
      </w:r>
      <w:r>
        <w:t xml:space="preserve"> — journalisation DIANA ; sources citées (MLA 9) ; AIIA dédiée.</w:t>
      </w:r>
      <w:r>
        <w:br/>
      </w:r>
      <w:r>
        <w:t xml:space="preserve"> ✅ </w:t>
      </w:r>
      <w:r>
        <w:rPr>
          <w:b/>
        </w:rPr>
        <w:t xml:space="preserve">Gestion des risques</w:t>
      </w:r>
      <w:r>
        <w:t xml:space="preserve"> — risque « prévision mal calibrée » traité par calibration auditée + veto.</w:t>
      </w:r>
      <w:r>
        <w:br/>
      </w:r>
      <w:r>
        <w:t xml:space="preserve"> ✅ </w:t>
      </w:r>
      <w:r>
        <w:rPr>
          <w:b/>
        </w:rPr>
        <w:t xml:space="preserve">Imputabilité</w:t>
      </w:r>
      <w:r>
        <w:t xml:space="preserve"> — contrat d'agent ; moindre privilège ARES ; clause d'arrêt.</w:t>
      </w:r>
      <w:r>
        <w:br/>
      </w:r>
      <w:r>
        <w:t xml:space="preserve"> ✅ </w:t>
      </w:r>
      <w:r>
        <w:rPr>
          <w:b/>
        </w:rPr>
        <w:t xml:space="preserve">Éthique</w:t>
      </w:r>
      <w:r>
        <w:t xml:space="preserve"> — humilité épistémique calibrée ; anti-hallucination ; non-omnipotence.</w:t>
      </w:r>
    </w:p>
    <w:p>
      <w:pPr>
        <w:spacing w:line="480" w:lineRule="auto" w:before="0" w:after="120"/>
        <w:jc w:val="both"/>
        <w:shd w:val="clear" w:fill="F4F4F4"/>
        <w:pBdr>
          <w:top w:val="single" w:sz="8" w:space="2" w:color="000000"/>
          <w:bottom w:val="single" w:sz="8" w:space="2" w:color="000000"/>
          <w:left w:val="single" w:sz="8" w:space="2" w:color="000000"/>
          <w:right w:val="single" w:sz="8" w:space="2" w:color="000000"/>
        </w:pBdr>
      </w:pPr>
      <w:r>
        <w:rPr>
          <w:i/>
        </w:rPr>
        <w:t xml:space="preserve">Intégration proposée par assistant IA, conforme aux conventions du Document de Référence SYNTHEX (Sylvain, juin 2026). Les seuils chiffrés sont à caler sur SYNTHEX_Grille_Seuils_Veto_v1.0.</w:t>
      </w:r>
    </w:p>
    <w:sectPr>
      <w:pgSz w:w="11906" w:h="16838"/>
      <w:pgMar w:top="1418" w:right="1418" w:bottom="1418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fr-FR"/>
      </w:rPr>
    </w:rPrDefault>
    <w:pPrDefault>
      <w:pPr>
        <w:spacing w:line="48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