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7C5AF" w14:textId="0977F2A0" w:rsidR="00ED13D6" w:rsidRPr="00B1178D" w:rsidRDefault="00A137DF">
      <w:pPr>
        <w:pStyle w:val="papertitle"/>
        <w:rPr>
          <w:noProof w:val="0"/>
          <w:lang w:val="hr-HR"/>
        </w:rPr>
      </w:pPr>
      <w:r>
        <w:rPr>
          <w:noProof w:val="0"/>
          <w:lang w:val="hr-HR"/>
        </w:rPr>
        <w:t>Implementacija miješanja animacija</w:t>
      </w:r>
      <w:r>
        <w:rPr>
          <w:noProof w:val="0"/>
          <w:lang w:val="hr-HR"/>
        </w:rPr>
        <w:br/>
        <w:t xml:space="preserve">(engl. </w:t>
      </w:r>
      <w:r>
        <w:rPr>
          <w:i/>
          <w:iCs/>
          <w:noProof w:val="0"/>
          <w:lang w:val="hr-HR"/>
        </w:rPr>
        <w:t>animation blending</w:t>
      </w:r>
      <w:r>
        <w:rPr>
          <w:noProof w:val="0"/>
          <w:lang w:val="hr-HR"/>
        </w:rPr>
        <w:t>)</w:t>
      </w:r>
    </w:p>
    <w:p w14:paraId="2547B247" w14:textId="77777777" w:rsidR="00ED13D6" w:rsidRPr="00B1178D" w:rsidRDefault="00ED13D6"/>
    <w:p w14:paraId="4A8F1041" w14:textId="77777777" w:rsidR="00ED13D6" w:rsidRPr="00B1178D" w:rsidRDefault="00ED13D6">
      <w:pPr>
        <w:pStyle w:val="Author"/>
        <w:rPr>
          <w:noProof w:val="0"/>
          <w:lang w:val="hr-HR"/>
        </w:rPr>
        <w:sectPr w:rsidR="00ED13D6" w:rsidRPr="00B1178D" w:rsidSect="00F02FB9">
          <w:pgSz w:w="11909" w:h="16834" w:code="9"/>
          <w:pgMar w:top="1418" w:right="1134" w:bottom="1418" w:left="1134" w:header="720" w:footer="720" w:gutter="0"/>
          <w:cols w:space="720"/>
          <w:docGrid w:linePitch="360"/>
        </w:sectPr>
      </w:pPr>
    </w:p>
    <w:p w14:paraId="6D6F6BDF" w14:textId="5B82CECF" w:rsidR="00044662" w:rsidRPr="00B1178D" w:rsidRDefault="00A137DF" w:rsidP="00ED1C58">
      <w:pPr>
        <w:pStyle w:val="Author"/>
        <w:rPr>
          <w:noProof w:val="0"/>
          <w:lang w:val="hr-HR"/>
        </w:rPr>
      </w:pPr>
      <w:r>
        <w:rPr>
          <w:noProof w:val="0"/>
          <w:lang w:val="hr-HR"/>
        </w:rPr>
        <w:t>Adam Ergotić</w:t>
      </w:r>
    </w:p>
    <w:p w14:paraId="668A372E" w14:textId="3701A310" w:rsidR="00044662" w:rsidRPr="00B1178D" w:rsidRDefault="00A137DF" w:rsidP="00044662">
      <w:pPr>
        <w:pStyle w:val="Affiliation"/>
        <w:rPr>
          <w:lang w:val="hr-HR"/>
        </w:rPr>
      </w:pPr>
      <w:r>
        <w:rPr>
          <w:rFonts w:eastAsia="MS Mincho"/>
          <w:lang w:val="hr-HR"/>
        </w:rPr>
        <w:t>Mentor: Željka Mihajlović</w:t>
      </w:r>
    </w:p>
    <w:p w14:paraId="79623CB2" w14:textId="68E13675" w:rsidR="00044662" w:rsidRPr="00B1178D" w:rsidRDefault="00A137DF" w:rsidP="00A137DF">
      <w:pPr>
        <w:pStyle w:val="Affiliation"/>
        <w:rPr>
          <w:rFonts w:eastAsia="MS Mincho"/>
          <w:lang w:val="hr-HR"/>
        </w:rPr>
      </w:pPr>
      <w:r>
        <w:rPr>
          <w:rFonts w:eastAsia="MS Mincho"/>
          <w:lang w:val="hr-HR"/>
        </w:rPr>
        <w:t>Fakultet elektrotehnike i računarstva, Zagreb, Hrvatska</w:t>
      </w:r>
    </w:p>
    <w:p w14:paraId="48BF7D10" w14:textId="51D0073E" w:rsidR="00ED13D6" w:rsidRPr="00B1178D" w:rsidRDefault="00A137DF">
      <w:pPr>
        <w:pStyle w:val="Affiliation"/>
        <w:rPr>
          <w:lang w:val="hr-HR"/>
        </w:rPr>
      </w:pPr>
      <w:r>
        <w:rPr>
          <w:lang w:val="hr-HR"/>
        </w:rPr>
        <w:t>adam.ergotic@outlook.com</w:t>
      </w:r>
    </w:p>
    <w:p w14:paraId="752DA726" w14:textId="77777777" w:rsidR="00ED13D6" w:rsidRPr="00B1178D" w:rsidRDefault="00ED13D6"/>
    <w:p w14:paraId="737262EC" w14:textId="77777777" w:rsidR="00ED13D6" w:rsidRPr="00B1178D" w:rsidRDefault="00ED13D6">
      <w:pPr>
        <w:sectPr w:rsidR="00ED13D6" w:rsidRPr="00B1178D" w:rsidSect="00F02FB9">
          <w:type w:val="continuous"/>
          <w:pgSz w:w="11909" w:h="16834" w:code="9"/>
          <w:pgMar w:top="1418" w:right="1134" w:bottom="1418" w:left="1134" w:header="720" w:footer="720" w:gutter="0"/>
          <w:cols w:space="720"/>
          <w:docGrid w:linePitch="360"/>
        </w:sectPr>
      </w:pPr>
    </w:p>
    <w:p w14:paraId="202EB5C2" w14:textId="77777777" w:rsidR="00ED13D6" w:rsidRPr="00B1178D" w:rsidRDefault="00763408" w:rsidP="00AC3004">
      <w:pPr>
        <w:pStyle w:val="Abstract"/>
        <w:ind w:firstLine="288"/>
        <w:rPr>
          <w:lang w:val="hr-HR"/>
        </w:rPr>
      </w:pPr>
      <w:r w:rsidRPr="00AC3004">
        <w:rPr>
          <w:i/>
          <w:lang w:val="hr-HR"/>
        </w:rPr>
        <w:t>Sažetak</w:t>
      </w:r>
      <w:r w:rsidR="002D02D1" w:rsidRPr="00B1178D">
        <w:rPr>
          <w:lang w:val="hr-HR"/>
        </w:rPr>
        <w:t xml:space="preserve"> - </w:t>
      </w:r>
      <w:r w:rsidR="00B1178D" w:rsidRPr="00B1178D">
        <w:rPr>
          <w:lang w:val="hr-HR"/>
        </w:rPr>
        <w:t>U sažetku, koji ne smije biti duži od 200 riječi, treba navesti najvažnije ideje i rezultate rada.</w:t>
      </w:r>
      <w:r w:rsidRPr="00B1178D">
        <w:rPr>
          <w:lang w:val="hr-HR"/>
        </w:rPr>
        <w:t xml:space="preserve"> Nemojte citirati literaturu u sažetku.</w:t>
      </w:r>
    </w:p>
    <w:p w14:paraId="3AFF9ACF" w14:textId="7497FA0B" w:rsidR="006B08B1" w:rsidRDefault="006B08B1" w:rsidP="006B08B1">
      <w:pPr>
        <w:pStyle w:val="keywords"/>
        <w:rPr>
          <w:rFonts w:eastAsia="MS Mincho"/>
        </w:rPr>
      </w:pPr>
      <w:r>
        <w:rPr>
          <w:rFonts w:eastAsia="MS Mincho"/>
        </w:rPr>
        <w:t>Ključne riječi</w:t>
      </w:r>
      <w:r w:rsidR="00161710" w:rsidRPr="00B1178D">
        <w:rPr>
          <w:lang w:val="hr-HR"/>
        </w:rPr>
        <w:t xml:space="preserve"> </w:t>
      </w:r>
      <w:r w:rsidR="00A137DF">
        <w:rPr>
          <w:i w:val="0"/>
          <w:lang w:val="hr-HR"/>
        </w:rPr>
        <w:t>–</w:t>
      </w:r>
      <w:r w:rsidR="00161710" w:rsidRPr="00B1178D">
        <w:rPr>
          <w:lang w:val="hr-HR"/>
        </w:rPr>
        <w:t xml:space="preserve"> </w:t>
      </w:r>
      <w:r w:rsidR="00A137DF">
        <w:rPr>
          <w:rFonts w:eastAsia="MS Mincho"/>
        </w:rPr>
        <w:t>animicije</w:t>
      </w:r>
      <w:r w:rsidR="006879F1">
        <w:rPr>
          <w:rFonts w:eastAsia="MS Mincho"/>
        </w:rPr>
        <w:t>;</w:t>
      </w:r>
      <w:r w:rsidR="00A137DF">
        <w:rPr>
          <w:rFonts w:eastAsia="MS Mincho"/>
        </w:rPr>
        <w:t xml:space="preserve"> skeletalna animacija</w:t>
      </w:r>
      <w:r w:rsidR="006879F1">
        <w:rPr>
          <w:rFonts w:eastAsia="MS Mincho"/>
        </w:rPr>
        <w:t>;</w:t>
      </w:r>
      <w:r w:rsidR="00A137DF">
        <w:rPr>
          <w:rFonts w:eastAsia="MS Mincho"/>
        </w:rPr>
        <w:t xml:space="preserve"> miješanje animacija (engl. animation blending)</w:t>
      </w:r>
      <w:r w:rsidR="006879F1">
        <w:rPr>
          <w:rFonts w:eastAsia="MS Mincho"/>
        </w:rPr>
        <w:t>;</w:t>
      </w:r>
      <w:r w:rsidR="00A137DF">
        <w:rPr>
          <w:rFonts w:eastAsia="MS Mincho"/>
        </w:rPr>
        <w:t xml:space="preserve"> implementacija</w:t>
      </w:r>
      <w:r w:rsidR="006879F1">
        <w:rPr>
          <w:rFonts w:eastAsia="MS Mincho"/>
        </w:rPr>
        <w:t>;</w:t>
      </w:r>
      <w:r w:rsidR="00A137DF">
        <w:rPr>
          <w:rFonts w:eastAsia="MS Mincho"/>
        </w:rPr>
        <w:t xml:space="preserve"> OpenGL</w:t>
      </w:r>
    </w:p>
    <w:p w14:paraId="7AE2CE0A" w14:textId="77777777" w:rsidR="00ED13D6" w:rsidRPr="00B1178D" w:rsidRDefault="009C0BE9" w:rsidP="00B57A1C">
      <w:pPr>
        <w:pStyle w:val="Heading1"/>
        <w:rPr>
          <w:noProof w:val="0"/>
        </w:rPr>
      </w:pPr>
      <w:r w:rsidRPr="00B1178D">
        <w:rPr>
          <w:noProof w:val="0"/>
        </w:rPr>
        <w:t>Uvod</w:t>
      </w:r>
    </w:p>
    <w:p w14:paraId="4F30052C" w14:textId="0C4A3E93" w:rsidR="002B0CEC" w:rsidRDefault="00EE45C9" w:rsidP="002B0CEC">
      <w:pPr>
        <w:pStyle w:val="BodyText"/>
      </w:pPr>
      <w:r>
        <w:t>Animacija je vrlo važna tehnika</w:t>
      </w:r>
      <w:r w:rsidR="002B0CEC">
        <w:t xml:space="preserve"> koja omogućuje</w:t>
      </w:r>
      <w:r>
        <w:t xml:space="preserve"> prikazivanj</w:t>
      </w:r>
      <w:r w:rsidR="002B0CEC">
        <w:t>e</w:t>
      </w:r>
      <w:r>
        <w:t xml:space="preserve"> pokreta različitih tijela i živih bića. </w:t>
      </w:r>
      <w:r w:rsidR="002B0CEC">
        <w:t xml:space="preserve">Jedno od složenijih zahtjeva animacija je napraviti animacije koje izgledaju prirodno i realistično, pogotovo kod zahtjevnijih modela (poput čovjeka). </w:t>
      </w:r>
    </w:p>
    <w:p w14:paraId="1D0501EF" w14:textId="50377056" w:rsidR="00EE45C9" w:rsidRDefault="00EE45C9" w:rsidP="002B0CEC">
      <w:pPr>
        <w:pStyle w:val="BodyText"/>
      </w:pPr>
      <w:r>
        <w:t xml:space="preserve">Postoje različite metode </w:t>
      </w:r>
      <w:r w:rsidR="002B0CEC">
        <w:t>koje služe za poboljšanje realističnosti animacija, a među njima je metoda</w:t>
      </w:r>
      <w:r>
        <w:t xml:space="preserve"> </w:t>
      </w:r>
      <w:r w:rsidR="002B0CEC">
        <w:t>m</w:t>
      </w:r>
      <w:r>
        <w:t>iješanj</w:t>
      </w:r>
      <w:r w:rsidR="002B0CEC">
        <w:t>a</w:t>
      </w:r>
      <w:r>
        <w:t xml:space="preserve"> animacija (engl. </w:t>
      </w:r>
      <w:r>
        <w:rPr>
          <w:i/>
          <w:iCs/>
        </w:rPr>
        <w:t>animation blending</w:t>
      </w:r>
      <w:r>
        <w:t>)</w:t>
      </w:r>
      <w:r w:rsidR="002B0CEC">
        <w:t>. Ova tehnika</w:t>
      </w:r>
      <w:r>
        <w:t xml:space="preserve"> omogućuje </w:t>
      </w:r>
      <w:r w:rsidR="002B0CEC">
        <w:t>uporabu više animacija odjednom unutar određenog vremenskom intervala.</w:t>
      </w:r>
      <w:r>
        <w:t xml:space="preserve"> </w:t>
      </w:r>
    </w:p>
    <w:p w14:paraId="6A07437A" w14:textId="71447FDB" w:rsidR="00ED1C58" w:rsidRPr="00B1178D" w:rsidRDefault="00EE45C9" w:rsidP="00D55A94">
      <w:pPr>
        <w:pStyle w:val="BodyText"/>
      </w:pPr>
      <w:r>
        <w:t>Osim opisa navedene metode, u ovom radu se također prikazuje kôd implementacija metode korištenjem tehnologije OpenGL.</w:t>
      </w:r>
    </w:p>
    <w:p w14:paraId="53B1BD63" w14:textId="2F8F0D69" w:rsidR="003C2AF7" w:rsidRPr="00B1178D" w:rsidRDefault="0042029D" w:rsidP="00871D32">
      <w:pPr>
        <w:pStyle w:val="BodyText"/>
        <w:ind w:firstLine="0"/>
      </w:pPr>
      <w:r w:rsidRPr="00B1178D">
        <w:t xml:space="preserve"> </w:t>
      </w:r>
    </w:p>
    <w:p w14:paraId="64BB6949" w14:textId="77777777" w:rsidR="00FA1F6B" w:rsidRPr="00B1178D" w:rsidRDefault="00235A68" w:rsidP="00FA1F6B">
      <w:pPr>
        <w:pStyle w:val="sponsors"/>
        <w:framePr w:wrap="around" w:hAnchor="margin" w:xAlign="left" w:yAlign="bottom"/>
        <w:rPr>
          <w:lang w:val="hr-HR"/>
        </w:rPr>
      </w:pPr>
      <w:r w:rsidRPr="00B1178D">
        <w:rPr>
          <w:lang w:val="hr-HR"/>
        </w:rPr>
        <w:t>Ovdje identificirajte konkretne sponzore</w:t>
      </w:r>
      <w:r w:rsidR="00FA1F6B" w:rsidRPr="00B1178D">
        <w:rPr>
          <w:lang w:val="hr-HR"/>
        </w:rPr>
        <w:t xml:space="preserve">. </w:t>
      </w:r>
      <w:r w:rsidRPr="00B1178D">
        <w:rPr>
          <w:lang w:val="hr-HR"/>
        </w:rPr>
        <w:t>Ako nema sponzora, izbrišite ovaj tekst</w:t>
      </w:r>
      <w:r w:rsidR="00C70D49" w:rsidRPr="00B1178D">
        <w:rPr>
          <w:lang w:val="hr-HR"/>
        </w:rPr>
        <w:t>ualni</w:t>
      </w:r>
      <w:r w:rsidRPr="00B1178D">
        <w:rPr>
          <w:lang w:val="hr-HR"/>
        </w:rPr>
        <w:t xml:space="preserve"> okvir. (sponzori)</w:t>
      </w:r>
    </w:p>
    <w:p w14:paraId="04C30C0F" w14:textId="6549B40E" w:rsidR="00ED13D6" w:rsidRPr="00B1178D" w:rsidRDefault="00BB6ED9" w:rsidP="00B57A1C">
      <w:pPr>
        <w:pStyle w:val="Heading1"/>
        <w:rPr>
          <w:noProof w:val="0"/>
        </w:rPr>
      </w:pPr>
      <w:r>
        <w:rPr>
          <w:noProof w:val="0"/>
          <w:snapToGrid w:val="0"/>
        </w:rPr>
        <w:t>Tehnologije</w:t>
      </w:r>
    </w:p>
    <w:p w14:paraId="49B25C90" w14:textId="465ACD1A" w:rsidR="00ED13D6" w:rsidRPr="00B1178D" w:rsidRDefault="00BB6ED9" w:rsidP="00AE4A67">
      <w:pPr>
        <w:pStyle w:val="Heading2"/>
        <w:rPr>
          <w:noProof w:val="0"/>
        </w:rPr>
      </w:pPr>
      <w:r>
        <w:rPr>
          <w:noProof w:val="0"/>
        </w:rPr>
        <w:t>OpenGL</w:t>
      </w:r>
    </w:p>
    <w:p w14:paraId="082CFA65" w14:textId="40926B84" w:rsidR="00BB6ED9" w:rsidRPr="00E5214E" w:rsidRDefault="00BB6ED9" w:rsidP="00BB6ED9">
      <w:pPr>
        <w:pStyle w:val="BodyText"/>
      </w:pPr>
      <w:r>
        <w:t>OpenGL je programsko sučelje koje služi za prikazivanje 2D odnosno 3D grafike. Unutar ovog rada, OpenGL koristit će se za prikazivanje modela i animacija modela.</w:t>
      </w:r>
      <w:r w:rsidR="00E5214E">
        <w:t xml:space="preserve"> Za pitanje sjenčara (engl. </w:t>
      </w:r>
      <w:r w:rsidR="00E5214E">
        <w:rPr>
          <w:i/>
          <w:iCs/>
        </w:rPr>
        <w:t>shader</w:t>
      </w:r>
      <w:r w:rsidR="00E5214E">
        <w:t>) koristit će se GLSL.</w:t>
      </w:r>
    </w:p>
    <w:p w14:paraId="40FBC60F" w14:textId="1DD487C7" w:rsidR="00ED13D6" w:rsidRPr="00B1178D" w:rsidRDefault="00BB6ED9" w:rsidP="00B57A1C">
      <w:pPr>
        <w:pStyle w:val="Heading2"/>
        <w:rPr>
          <w:noProof w:val="0"/>
        </w:rPr>
      </w:pPr>
      <w:r>
        <w:rPr>
          <w:noProof w:val="0"/>
        </w:rPr>
        <w:t>Assimp</w:t>
      </w:r>
    </w:p>
    <w:p w14:paraId="2F36BEAE" w14:textId="1758972D" w:rsidR="00371C02" w:rsidRDefault="00BB6ED9" w:rsidP="00CF19CD">
      <w:pPr>
        <w:pStyle w:val="BodyText"/>
      </w:pPr>
      <w:r>
        <w:t>Assimp je C++ biblioteka koja služi za uvoz modela. Unutar ovog rada, Assimp će se koristiti za uvoz modela i animacija te svih podataka koji su potrebni za implementaciju miješanja animacija.</w:t>
      </w:r>
    </w:p>
    <w:p w14:paraId="6BB06225" w14:textId="2CB9D2D4" w:rsidR="00E5214E" w:rsidRDefault="00E5214E" w:rsidP="00E5214E">
      <w:pPr>
        <w:pStyle w:val="Heading2"/>
      </w:pPr>
      <w:r>
        <w:t>FBX</w:t>
      </w:r>
    </w:p>
    <w:p w14:paraId="52514DF0" w14:textId="572E6744" w:rsidR="0012298E" w:rsidRDefault="00E5214E" w:rsidP="0012298E">
      <w:pPr>
        <w:ind w:firstLine="288"/>
        <w:jc w:val="both"/>
      </w:pPr>
      <w:r>
        <w:t>Za zapis modela koristit će se .fbx format. FBX</w:t>
      </w:r>
      <w:r w:rsidR="0012298E">
        <w:t xml:space="preserve"> </w:t>
      </w:r>
      <w:r>
        <w:t>format omogućuje zapis modela zajedno s animacijama.</w:t>
      </w:r>
    </w:p>
    <w:p w14:paraId="3CB695BC" w14:textId="75C5F0D4" w:rsidR="00E5214E" w:rsidRDefault="00E5214E" w:rsidP="00E5214E">
      <w:pPr>
        <w:pStyle w:val="Heading2"/>
      </w:pPr>
      <w:r>
        <w:t>Blender</w:t>
      </w:r>
    </w:p>
    <w:p w14:paraId="49B1BCC8" w14:textId="237DF818" w:rsidR="00E5214E" w:rsidRDefault="00E5214E" w:rsidP="0012298E">
      <w:pPr>
        <w:ind w:firstLine="288"/>
        <w:jc w:val="both"/>
      </w:pPr>
      <w:r>
        <w:t>Blender se koristi za spajanje svih animacija na</w:t>
      </w:r>
      <w:r w:rsidR="0012298E">
        <w:t xml:space="preserve"> </w:t>
      </w:r>
      <w:r>
        <w:t xml:space="preserve">jednomjesto. Korišten model unutar rada je s web stranice Mixamo (mixamo.com). </w:t>
      </w:r>
    </w:p>
    <w:p w14:paraId="2C71CBBF" w14:textId="77777777" w:rsidR="0012298E" w:rsidRDefault="0012298E" w:rsidP="00E5214E">
      <w:pPr>
        <w:ind w:left="288"/>
        <w:jc w:val="both"/>
      </w:pPr>
    </w:p>
    <w:p w14:paraId="0199383F" w14:textId="77777777" w:rsidR="0012298E" w:rsidRDefault="0012298E" w:rsidP="0012298E">
      <w:pPr>
        <w:keepNext/>
        <w:ind w:left="288"/>
      </w:pPr>
      <w:r w:rsidRPr="0012298E">
        <w:drawing>
          <wp:inline distT="0" distB="0" distL="0" distR="0" wp14:anchorId="5C976249" wp14:editId="097C848F">
            <wp:extent cx="1844035" cy="2552700"/>
            <wp:effectExtent l="0" t="0" r="4445" b="0"/>
            <wp:docPr id="276126296" name="Picture 1" descr="A mannequin with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26296" name="Picture 1" descr="A mannequin with a gri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247" cy="255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1F25" w14:textId="607E1DC4" w:rsidR="0012298E" w:rsidRDefault="0012298E" w:rsidP="0012298E">
      <w:pPr>
        <w:rPr>
          <w:rStyle w:val="SubtleEmphasis"/>
        </w:rPr>
      </w:pPr>
      <w:r w:rsidRPr="0012298E">
        <w:rPr>
          <w:rStyle w:val="SubtleEmphasis"/>
        </w:rPr>
        <w:t xml:space="preserve">Slika </w:t>
      </w:r>
      <w:r w:rsidRPr="0012298E">
        <w:rPr>
          <w:rStyle w:val="SubtleEmphasis"/>
        </w:rPr>
        <w:fldChar w:fldCharType="begin"/>
      </w:r>
      <w:r w:rsidRPr="0012298E">
        <w:rPr>
          <w:rStyle w:val="SubtleEmphasis"/>
        </w:rPr>
        <w:instrText xml:space="preserve"> SEQ Slika \* ARABIC </w:instrText>
      </w:r>
      <w:r w:rsidRPr="0012298E">
        <w:rPr>
          <w:rStyle w:val="SubtleEmphasis"/>
        </w:rPr>
        <w:fldChar w:fldCharType="separate"/>
      </w:r>
      <w:r w:rsidRPr="0012298E">
        <w:rPr>
          <w:rStyle w:val="SubtleEmphasis"/>
        </w:rPr>
        <w:t>1</w:t>
      </w:r>
      <w:r w:rsidRPr="0012298E">
        <w:rPr>
          <w:rStyle w:val="SubtleEmphasis"/>
        </w:rPr>
        <w:fldChar w:fldCharType="end"/>
      </w:r>
      <w:r w:rsidRPr="0012298E">
        <w:rPr>
          <w:rStyle w:val="SubtleEmphasis"/>
        </w:rPr>
        <w:t>: Mixamo model</w:t>
      </w:r>
    </w:p>
    <w:p w14:paraId="673009CE" w14:textId="0F63184B" w:rsidR="00871D32" w:rsidRDefault="00871D32" w:rsidP="00871D32">
      <w:pPr>
        <w:pStyle w:val="Heading1"/>
        <w:rPr>
          <w:rStyle w:val="SubtleEmphasis"/>
          <w:i w:val="0"/>
          <w:iCs w:val="0"/>
          <w:color w:val="auto"/>
        </w:rPr>
      </w:pPr>
      <w:r w:rsidRPr="00871D32">
        <w:rPr>
          <w:rStyle w:val="SubtleEmphasis"/>
          <w:i w:val="0"/>
          <w:iCs w:val="0"/>
          <w:color w:val="auto"/>
        </w:rPr>
        <w:t>Implementacija</w:t>
      </w:r>
    </w:p>
    <w:p w14:paraId="6A83894B" w14:textId="4090CCA1" w:rsidR="00871D32" w:rsidRDefault="00871D32" w:rsidP="00871D32">
      <w:pPr>
        <w:ind w:firstLine="216"/>
        <w:jc w:val="both"/>
      </w:pPr>
      <w:r>
        <w:t>Nekakav tekst cisto da ne moram opet namjestati red kada se vratim i krenem ponovno pisati.</w:t>
      </w:r>
    </w:p>
    <w:p w14:paraId="2C89E4CA" w14:textId="77777777" w:rsidR="00871D32" w:rsidRPr="00871D32" w:rsidRDefault="00871D32" w:rsidP="00871D32">
      <w:pPr>
        <w:ind w:firstLine="216"/>
        <w:jc w:val="both"/>
      </w:pPr>
    </w:p>
    <w:p w14:paraId="68E84D1A" w14:textId="77777777" w:rsidR="00E87B0E" w:rsidRPr="00B1178D" w:rsidRDefault="00597B20" w:rsidP="00E87B0E">
      <w:pPr>
        <w:pStyle w:val="Heading1"/>
        <w:rPr>
          <w:noProof w:val="0"/>
        </w:rPr>
      </w:pPr>
      <w:r w:rsidRPr="00B1178D">
        <w:rPr>
          <w:noProof w:val="0"/>
          <w:snapToGrid w:val="0"/>
        </w:rPr>
        <w:t>Zaključak</w:t>
      </w:r>
    </w:p>
    <w:p w14:paraId="32E2CC24" w14:textId="77777777" w:rsidR="00E87B0E" w:rsidRPr="00B1178D" w:rsidRDefault="00597B20" w:rsidP="00B57A1C">
      <w:pPr>
        <w:pStyle w:val="BodyText"/>
      </w:pPr>
      <w:r w:rsidRPr="00B1178D">
        <w:t xml:space="preserve">Budite kratki i navedite najvažniji zaključak </w:t>
      </w:r>
      <w:r w:rsidR="00DE07B0">
        <w:t>V</w:t>
      </w:r>
      <w:r w:rsidRPr="00B1178D">
        <w:t xml:space="preserve">ašeg rada. U zaključku nemojte koristiti </w:t>
      </w:r>
      <w:r w:rsidR="00DB7C9F" w:rsidRPr="00B1178D">
        <w:t xml:space="preserve">ni </w:t>
      </w:r>
      <w:r w:rsidRPr="00B1178D">
        <w:t>formule ni slike.</w:t>
      </w:r>
    </w:p>
    <w:p w14:paraId="41BE57EC" w14:textId="77777777" w:rsidR="00ED13D6" w:rsidRPr="00B1178D" w:rsidRDefault="00CB10AF" w:rsidP="00B57A1C">
      <w:pPr>
        <w:pStyle w:val="Heading5"/>
        <w:rPr>
          <w:noProof w:val="0"/>
        </w:rPr>
      </w:pPr>
      <w:r w:rsidRPr="00B1178D">
        <w:rPr>
          <w:noProof w:val="0"/>
        </w:rPr>
        <w:t>Literatura</w:t>
      </w:r>
    </w:p>
    <w:p w14:paraId="3E3FC037" w14:textId="77777777" w:rsidR="00ED13D6" w:rsidRPr="00B1178D" w:rsidRDefault="00CB10AF" w:rsidP="00B57A1C">
      <w:pPr>
        <w:pStyle w:val="BodyText"/>
      </w:pPr>
      <w:r w:rsidRPr="00B1178D">
        <w:t xml:space="preserve">Predložak će numerirati </w:t>
      </w:r>
      <w:r w:rsidR="009A4FCE">
        <w:t>reference</w:t>
      </w:r>
      <w:r w:rsidR="009A4FCE" w:rsidRPr="00B1178D">
        <w:t xml:space="preserve"> </w:t>
      </w:r>
      <w:r w:rsidR="008E5950" w:rsidRPr="00B1178D">
        <w:t>uzastopno</w:t>
      </w:r>
      <w:r w:rsidRPr="00B1178D">
        <w:t xml:space="preserve"> s uglatim zagradama [1]. </w:t>
      </w:r>
      <w:r w:rsidR="00221CE0" w:rsidRPr="00B1178D">
        <w:t xml:space="preserve">Rečenični </w:t>
      </w:r>
      <w:r w:rsidR="00F848C3" w:rsidRPr="00B1178D">
        <w:t xml:space="preserve">interpunkcijski </w:t>
      </w:r>
      <w:r w:rsidR="00221CE0" w:rsidRPr="00B1178D">
        <w:t>znak slijedi nakon uglate zagrade</w:t>
      </w:r>
      <w:r w:rsidRPr="00B1178D">
        <w:t xml:space="preserve"> [2]. Pozivajte se jednostavno na broj </w:t>
      </w:r>
      <w:r w:rsidR="009A4FCE">
        <w:t>reference,</w:t>
      </w:r>
      <w:r w:rsidRPr="00B1178D">
        <w:t xml:space="preserve"> kao u [</w:t>
      </w:r>
      <w:r w:rsidR="00221CE0" w:rsidRPr="00B1178D">
        <w:t xml:space="preserve">3] </w:t>
      </w:r>
      <w:r w:rsidR="00616B5E">
        <w:t xml:space="preserve">– nemojte </w:t>
      </w:r>
      <w:r w:rsidRPr="00B1178D">
        <w:t>rabiti “Ref.</w:t>
      </w:r>
      <w:r w:rsidR="00F848C3" w:rsidRPr="00B1178D">
        <w:t xml:space="preserve"> </w:t>
      </w:r>
      <w:r w:rsidRPr="00B1178D">
        <w:t>[3]” ili “</w:t>
      </w:r>
      <w:r w:rsidR="009A4FCE">
        <w:t>referenca</w:t>
      </w:r>
      <w:r w:rsidR="009A4FCE" w:rsidRPr="00B1178D">
        <w:t xml:space="preserve"> </w:t>
      </w:r>
      <w:r w:rsidRPr="00B1178D">
        <w:t>[3]” osim ako je na početku rečenice: “</w:t>
      </w:r>
      <w:r w:rsidR="009A4FCE">
        <w:t>Referenca</w:t>
      </w:r>
      <w:r w:rsidR="009A4FCE" w:rsidRPr="00B1178D">
        <w:t xml:space="preserve"> </w:t>
      </w:r>
      <w:r w:rsidRPr="00B1178D">
        <w:t xml:space="preserve">[3] bio je prvi </w:t>
      </w:r>
      <w:r w:rsidRPr="00B1178D">
        <w:sym w:font="Symbol" w:char="F0BC"/>
      </w:r>
      <w:r w:rsidR="00221CE0" w:rsidRPr="00B1178D">
        <w:t>”</w:t>
      </w:r>
    </w:p>
    <w:p w14:paraId="2EBDE2C3" w14:textId="77777777" w:rsidR="00ED13D6" w:rsidRPr="00B1178D" w:rsidRDefault="00DB7C9F" w:rsidP="00B57A1C">
      <w:pPr>
        <w:pStyle w:val="BodyText"/>
      </w:pPr>
      <w:r w:rsidRPr="00B1178D">
        <w:t xml:space="preserve">Fusnote numerirajte odvojeno kao eksponent. </w:t>
      </w:r>
      <w:r w:rsidR="004345FC" w:rsidRPr="00B1178D">
        <w:t>O</w:t>
      </w:r>
      <w:r w:rsidRPr="00B1178D">
        <w:t xml:space="preserve">dgovarajuću fusnotu stavljajte na dno stupca u kojem je navedena. Nemojte stavljati fusnote u </w:t>
      </w:r>
      <w:r w:rsidR="004345FC" w:rsidRPr="00B1178D">
        <w:t>popis</w:t>
      </w:r>
      <w:r w:rsidRPr="00B1178D">
        <w:t xml:space="preserve"> literature. Upotrijebite slova za tablične fusnote. </w:t>
      </w:r>
    </w:p>
    <w:p w14:paraId="45B11214" w14:textId="77777777" w:rsidR="00ED13D6" w:rsidRPr="00B1178D" w:rsidRDefault="004245C4" w:rsidP="00B57A1C">
      <w:pPr>
        <w:pStyle w:val="BodyText"/>
      </w:pPr>
      <w:r w:rsidRPr="00B1178D">
        <w:t xml:space="preserve">Ukoliko je u referencama manje od šest autora, navedite imena svih autora i ne rabite </w:t>
      </w:r>
      <w:r w:rsidR="00ED13D6" w:rsidRPr="00B1178D">
        <w:t>“</w:t>
      </w:r>
      <w:r w:rsidRPr="00B1178D">
        <w:t>i ostali</w:t>
      </w:r>
      <w:r w:rsidR="00ED13D6" w:rsidRPr="00B1178D">
        <w:t xml:space="preserve">”. </w:t>
      </w:r>
      <w:r w:rsidRPr="00B1178D">
        <w:t xml:space="preserve">Neobjavljeni radovi, iako su predani, trebaju se citirati kao “neobjavljen” </w:t>
      </w:r>
      <w:r w:rsidR="00ED13D6" w:rsidRPr="00B1178D">
        <w:t xml:space="preserve">[4]. </w:t>
      </w:r>
      <w:r w:rsidRPr="00B1178D">
        <w:t>Radovi koji su prihvaćeni za objavu citiraju se kao “</w:t>
      </w:r>
      <w:r w:rsidR="009A4FCE" w:rsidRPr="009A4FCE">
        <w:t xml:space="preserve"> </w:t>
      </w:r>
      <w:r w:rsidR="009A4FCE">
        <w:t>prihvaćen za tisak</w:t>
      </w:r>
      <w:r w:rsidR="009A4FCE" w:rsidRPr="00B1178D">
        <w:t>”</w:t>
      </w:r>
      <w:r w:rsidR="00ED13D6" w:rsidRPr="00B1178D">
        <w:t xml:space="preserve"> [5]. </w:t>
      </w:r>
      <w:r w:rsidR="00B37834" w:rsidRPr="00B1178D">
        <w:t xml:space="preserve">Samo prvu riječ u naslovu rada započnite velikim slovom, osim </w:t>
      </w:r>
      <w:r w:rsidR="00616B5E">
        <w:t>vlastitih</w:t>
      </w:r>
      <w:r w:rsidR="00B37834" w:rsidRPr="00B1178D">
        <w:t xml:space="preserve"> imenica i simbola elemenata.</w:t>
      </w:r>
    </w:p>
    <w:p w14:paraId="350F6ECB" w14:textId="77777777" w:rsidR="00ED13D6" w:rsidRPr="00B1178D" w:rsidRDefault="00ED13D6">
      <w:pPr>
        <w:pStyle w:val="references"/>
        <w:rPr>
          <w:noProof w:val="0"/>
          <w:lang w:val="hr-HR"/>
        </w:rPr>
      </w:pPr>
      <w:r w:rsidRPr="00B1178D">
        <w:rPr>
          <w:noProof w:val="0"/>
          <w:lang w:val="hr-HR"/>
        </w:rPr>
        <w:lastRenderedPageBreak/>
        <w:t>G. Eason, B. Noble, and I. N. Sneddon, “On certain integrals of Lipschitz-Hankel type involving products of Bessel functions,” Phil. Trans. Roy. Soc. London, vol. A247, pp. 529–551, April 1955. (references)</w:t>
      </w:r>
    </w:p>
    <w:p w14:paraId="2C1A404F" w14:textId="77777777" w:rsidR="00ED13D6" w:rsidRPr="00B1178D" w:rsidRDefault="00ED13D6">
      <w:pPr>
        <w:pStyle w:val="references"/>
        <w:rPr>
          <w:noProof w:val="0"/>
          <w:lang w:val="hr-HR"/>
        </w:rPr>
      </w:pPr>
      <w:r w:rsidRPr="00B1178D">
        <w:rPr>
          <w:noProof w:val="0"/>
          <w:lang w:val="hr-HR"/>
        </w:rPr>
        <w:t xml:space="preserve">J. Clerk Maxwell, A Treatise on Electricity and Magnetism, 3rd ed., vol. 2. </w:t>
      </w:r>
      <w:smartTag w:uri="urn:schemas-microsoft-com:office:smarttags" w:element="City">
        <w:smartTag w:uri="urn:schemas-microsoft-com:office:smarttags" w:element="State">
          <w:smartTag w:uri="urn:schemas-microsoft-com:office:smarttags" w:element="place">
            <w:r w:rsidRPr="00B1178D">
              <w:rPr>
                <w:noProof w:val="0"/>
                <w:lang w:val="hr-HR"/>
              </w:rPr>
              <w:t>Oxford</w:t>
            </w:r>
          </w:smartTag>
        </w:smartTag>
      </w:smartTag>
      <w:r w:rsidRPr="00B1178D">
        <w:rPr>
          <w:noProof w:val="0"/>
          <w:lang w:val="hr-HR"/>
        </w:rPr>
        <w:t>: Clarendon, 1892, pp.68–73.</w:t>
      </w:r>
    </w:p>
    <w:p w14:paraId="0621D305" w14:textId="77777777" w:rsidR="00ED13D6" w:rsidRPr="00B1178D" w:rsidRDefault="00ED13D6">
      <w:pPr>
        <w:pStyle w:val="references"/>
        <w:rPr>
          <w:noProof w:val="0"/>
          <w:lang w:val="hr-HR"/>
        </w:rPr>
      </w:pPr>
      <w:r w:rsidRPr="00B1178D">
        <w:rPr>
          <w:noProof w:val="0"/>
          <w:lang w:val="hr-HR"/>
        </w:rPr>
        <w:t xml:space="preserve">I. S. Jacobs and C. P. Bean, “Fine particles, thin films and exchange anisotropy,” in Magnetism, vol. III, G. T. Rado and H. Suhl, Eds. </w:t>
      </w:r>
      <w:smartTag w:uri="urn:schemas-microsoft-com:office:smarttags" w:element="State">
        <w:smartTag w:uri="urn:schemas-microsoft-com:office:smarttags" w:element="place">
          <w:r w:rsidRPr="00B1178D">
            <w:rPr>
              <w:noProof w:val="0"/>
              <w:lang w:val="hr-HR"/>
            </w:rPr>
            <w:t>New York</w:t>
          </w:r>
        </w:smartTag>
      </w:smartTag>
      <w:r w:rsidRPr="00B1178D">
        <w:rPr>
          <w:noProof w:val="0"/>
          <w:lang w:val="hr-HR"/>
        </w:rPr>
        <w:t>: Academic, 1963, pp. 271–350.</w:t>
      </w:r>
    </w:p>
    <w:p w14:paraId="5AA922C2" w14:textId="77777777" w:rsidR="009826AE" w:rsidRDefault="009826AE">
      <w:pPr>
        <w:pStyle w:val="references"/>
        <w:rPr>
          <w:noProof w:val="0"/>
          <w:lang w:val="hr-HR"/>
        </w:rPr>
      </w:pPr>
      <w:r>
        <w:t xml:space="preserve">I. Ivić , </w:t>
      </w:r>
      <w:r w:rsidRPr="00B1178D">
        <w:t>“</w:t>
      </w:r>
      <w:r>
        <w:t xml:space="preserve">Naslov </w:t>
      </w:r>
      <w:r w:rsidR="00975955">
        <w:t xml:space="preserve">rada </w:t>
      </w:r>
      <w:r>
        <w:t>ako postoji</w:t>
      </w:r>
      <w:r w:rsidRPr="00B1178D">
        <w:t>,”</w:t>
      </w:r>
      <w:r>
        <w:t xml:space="preserve"> neobjavljen</w:t>
      </w:r>
    </w:p>
    <w:p w14:paraId="25A7524E" w14:textId="77777777" w:rsidR="009826AE" w:rsidRDefault="009826AE">
      <w:pPr>
        <w:pStyle w:val="references"/>
        <w:rPr>
          <w:noProof w:val="0"/>
          <w:lang w:val="hr-HR"/>
        </w:rPr>
      </w:pPr>
      <w:r>
        <w:t xml:space="preserve">P. Perić, </w:t>
      </w:r>
      <w:r w:rsidRPr="00B1178D">
        <w:t>“</w:t>
      </w:r>
      <w:r>
        <w:t>Naslov rada</w:t>
      </w:r>
      <w:r w:rsidRPr="00B1178D">
        <w:t>,”</w:t>
      </w:r>
      <w:r>
        <w:t xml:space="preserve"> naziv časopisa, prihvaćen za tisak</w:t>
      </w:r>
      <w:r w:rsidRPr="00B1178D">
        <w:rPr>
          <w:noProof w:val="0"/>
          <w:lang w:val="hr-HR"/>
        </w:rPr>
        <w:t xml:space="preserve"> </w:t>
      </w:r>
    </w:p>
    <w:p w14:paraId="1F0D4E68" w14:textId="77777777" w:rsidR="00ED13D6" w:rsidRPr="00B1178D" w:rsidRDefault="00ED13D6">
      <w:pPr>
        <w:pStyle w:val="references"/>
        <w:rPr>
          <w:noProof w:val="0"/>
          <w:lang w:val="hr-HR"/>
        </w:rPr>
      </w:pPr>
      <w:r w:rsidRPr="00B1178D">
        <w:rPr>
          <w:noProof w:val="0"/>
          <w:lang w:val="hr-HR"/>
        </w:rPr>
        <w:t xml:space="preserve">Y. Yorozu, M. Hirano, K. Oka, and Y. Tagawa, “Electron spectroscopy studies on magneto-optical media and plastic substrate interface,” IEEE Transl. J. Magn. </w:t>
      </w:r>
      <w:smartTag w:uri="urn:schemas-microsoft-com:office:smarttags" w:element="country-region">
        <w:smartTag w:uri="urn:schemas-microsoft-com:office:smarttags" w:element="State">
          <w:r w:rsidRPr="00B1178D">
            <w:rPr>
              <w:noProof w:val="0"/>
              <w:lang w:val="hr-HR"/>
            </w:rPr>
            <w:t>Japan</w:t>
          </w:r>
        </w:smartTag>
      </w:smartTag>
      <w:r w:rsidRPr="00B1178D">
        <w:rPr>
          <w:noProof w:val="0"/>
          <w:lang w:val="hr-HR"/>
        </w:rPr>
        <w:t xml:space="preserve">, vol. 2, pp. 740–741, August 1987 [Digests 9th Annual Conf. Magnetics </w:t>
      </w:r>
      <w:smartTag w:uri="urn:schemas-microsoft-com:office:smarttags" w:element="country-region">
        <w:smartTag w:uri="urn:schemas-microsoft-com:office:smarttags" w:element="State">
          <w:smartTag w:uri="urn:schemas-microsoft-com:office:smarttags" w:element="place">
            <w:r w:rsidRPr="00B1178D">
              <w:rPr>
                <w:noProof w:val="0"/>
                <w:lang w:val="hr-HR"/>
              </w:rPr>
              <w:t>Japan</w:t>
            </w:r>
          </w:smartTag>
        </w:smartTag>
      </w:smartTag>
      <w:r w:rsidRPr="00B1178D">
        <w:rPr>
          <w:noProof w:val="0"/>
          <w:lang w:val="hr-HR"/>
        </w:rPr>
        <w:t>, p. 301, 1982].</w:t>
      </w:r>
    </w:p>
    <w:p w14:paraId="5C85BDFA" w14:textId="77777777" w:rsidR="00ED13D6" w:rsidRPr="00B1178D" w:rsidRDefault="00ED13D6">
      <w:pPr>
        <w:pStyle w:val="references"/>
        <w:rPr>
          <w:noProof w:val="0"/>
          <w:lang w:val="hr-HR"/>
        </w:rPr>
      </w:pPr>
      <w:r w:rsidRPr="00B1178D">
        <w:rPr>
          <w:noProof w:val="0"/>
          <w:lang w:val="hr-HR"/>
        </w:rPr>
        <w:t xml:space="preserve">M. Young, The Technical Writer's Handbook.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B1178D">
              <w:rPr>
                <w:noProof w:val="0"/>
                <w:lang w:val="hr-HR"/>
              </w:rPr>
              <w:t>Mill Valley</w:t>
            </w:r>
          </w:smartTag>
          <w:r w:rsidRPr="00B1178D">
            <w:rPr>
              <w:noProof w:val="0"/>
              <w:lang w:val="hr-HR"/>
            </w:rPr>
            <w:t xml:space="preserve">, </w:t>
          </w:r>
          <w:smartTag w:uri="urn:schemas-microsoft-com:office:smarttags" w:element="State">
            <w:r w:rsidRPr="00B1178D">
              <w:rPr>
                <w:noProof w:val="0"/>
                <w:lang w:val="hr-HR"/>
              </w:rPr>
              <w:t>CA</w:t>
            </w:r>
          </w:smartTag>
        </w:smartTag>
      </w:smartTag>
      <w:r w:rsidRPr="00B1178D">
        <w:rPr>
          <w:noProof w:val="0"/>
          <w:lang w:val="hr-HR"/>
        </w:rPr>
        <w:t>: University Science, 1989.</w:t>
      </w:r>
    </w:p>
    <w:p w14:paraId="11D603A1" w14:textId="77777777" w:rsidR="00E83B34" w:rsidRPr="00B1178D" w:rsidRDefault="00E83B34">
      <w:pPr>
        <w:pStyle w:val="references"/>
        <w:rPr>
          <w:noProof w:val="0"/>
          <w:lang w:val="hr-HR"/>
        </w:rPr>
        <w:sectPr w:rsidR="00E83B34" w:rsidRPr="00B1178D" w:rsidSect="00F02FB9">
          <w:type w:val="continuous"/>
          <w:pgSz w:w="11909" w:h="16834" w:code="9"/>
          <w:pgMar w:top="1418" w:right="1134" w:bottom="1418" w:left="1134" w:header="720" w:footer="720" w:gutter="0"/>
          <w:cols w:num="2" w:space="340"/>
          <w:docGrid w:linePitch="360"/>
        </w:sectPr>
      </w:pPr>
    </w:p>
    <w:p w14:paraId="5A55E8DD" w14:textId="77777777" w:rsidR="00ED13D6" w:rsidRPr="00B1178D" w:rsidRDefault="00ED13D6">
      <w:pPr>
        <w:pStyle w:val="references"/>
        <w:rPr>
          <w:noProof w:val="0"/>
          <w:lang w:val="hr-HR"/>
        </w:rPr>
        <w:sectPr w:rsidR="00ED13D6" w:rsidRPr="00B1178D" w:rsidSect="00F02FB9">
          <w:type w:val="continuous"/>
          <w:pgSz w:w="11909" w:h="16834" w:code="9"/>
          <w:pgMar w:top="1418" w:right="1134" w:bottom="1418" w:left="1134" w:header="720" w:footer="720" w:gutter="0"/>
          <w:cols w:num="2" w:space="340"/>
          <w:docGrid w:linePitch="360"/>
        </w:sectPr>
      </w:pPr>
    </w:p>
    <w:p w14:paraId="2CD35B06" w14:textId="77777777" w:rsidR="00ED13D6" w:rsidRPr="00B1178D" w:rsidRDefault="00ED13D6" w:rsidP="00B57A1C"/>
    <w:sectPr w:rsidR="00ED13D6" w:rsidRPr="00B1178D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33EEF" w14:textId="77777777" w:rsidR="00F02FB9" w:rsidRDefault="00F02FB9">
      <w:r>
        <w:separator/>
      </w:r>
    </w:p>
  </w:endnote>
  <w:endnote w:type="continuationSeparator" w:id="0">
    <w:p w14:paraId="7C0ED677" w14:textId="77777777" w:rsidR="00F02FB9" w:rsidRDefault="00F02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4BB30" w14:textId="77777777" w:rsidR="00F02FB9" w:rsidRDefault="00F02FB9">
      <w:r>
        <w:separator/>
      </w:r>
    </w:p>
  </w:footnote>
  <w:footnote w:type="continuationSeparator" w:id="0">
    <w:p w14:paraId="7A53EF77" w14:textId="77777777" w:rsidR="00F02FB9" w:rsidRDefault="00F02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672"/>
    <w:multiLevelType w:val="hybridMultilevel"/>
    <w:tmpl w:val="46768864"/>
    <w:lvl w:ilvl="0" w:tplc="041A000F">
      <w:start w:val="1"/>
      <w:numFmt w:val="decimal"/>
      <w:lvlText w:val="%1."/>
      <w:lvlJc w:val="left"/>
      <w:pPr>
        <w:ind w:left="1008" w:hanging="360"/>
      </w:pPr>
    </w:lvl>
    <w:lvl w:ilvl="1" w:tplc="041A0019" w:tentative="1">
      <w:start w:val="1"/>
      <w:numFmt w:val="lowerLetter"/>
      <w:lvlText w:val="%2."/>
      <w:lvlJc w:val="left"/>
      <w:pPr>
        <w:ind w:left="1728" w:hanging="360"/>
      </w:pPr>
    </w:lvl>
    <w:lvl w:ilvl="2" w:tplc="041A001B" w:tentative="1">
      <w:start w:val="1"/>
      <w:numFmt w:val="lowerRoman"/>
      <w:lvlText w:val="%3."/>
      <w:lvlJc w:val="right"/>
      <w:pPr>
        <w:ind w:left="2448" w:hanging="180"/>
      </w:pPr>
    </w:lvl>
    <w:lvl w:ilvl="3" w:tplc="041A000F" w:tentative="1">
      <w:start w:val="1"/>
      <w:numFmt w:val="decimal"/>
      <w:lvlText w:val="%4."/>
      <w:lvlJc w:val="left"/>
      <w:pPr>
        <w:ind w:left="3168" w:hanging="360"/>
      </w:pPr>
    </w:lvl>
    <w:lvl w:ilvl="4" w:tplc="041A0019" w:tentative="1">
      <w:start w:val="1"/>
      <w:numFmt w:val="lowerLetter"/>
      <w:lvlText w:val="%5."/>
      <w:lvlJc w:val="left"/>
      <w:pPr>
        <w:ind w:left="3888" w:hanging="360"/>
      </w:pPr>
    </w:lvl>
    <w:lvl w:ilvl="5" w:tplc="041A001B" w:tentative="1">
      <w:start w:val="1"/>
      <w:numFmt w:val="lowerRoman"/>
      <w:lvlText w:val="%6."/>
      <w:lvlJc w:val="right"/>
      <w:pPr>
        <w:ind w:left="4608" w:hanging="180"/>
      </w:pPr>
    </w:lvl>
    <w:lvl w:ilvl="6" w:tplc="041A000F" w:tentative="1">
      <w:start w:val="1"/>
      <w:numFmt w:val="decimal"/>
      <w:lvlText w:val="%7."/>
      <w:lvlJc w:val="left"/>
      <w:pPr>
        <w:ind w:left="5328" w:hanging="360"/>
      </w:pPr>
    </w:lvl>
    <w:lvl w:ilvl="7" w:tplc="041A0019" w:tentative="1">
      <w:start w:val="1"/>
      <w:numFmt w:val="lowerLetter"/>
      <w:lvlText w:val="%8."/>
      <w:lvlJc w:val="left"/>
      <w:pPr>
        <w:ind w:left="6048" w:hanging="360"/>
      </w:pPr>
    </w:lvl>
    <w:lvl w:ilvl="8" w:tplc="041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0E255DDD"/>
    <w:multiLevelType w:val="hybridMultilevel"/>
    <w:tmpl w:val="69067ED6"/>
    <w:lvl w:ilvl="0" w:tplc="041A000F">
      <w:start w:val="1"/>
      <w:numFmt w:val="decimal"/>
      <w:lvlText w:val="%1."/>
      <w:lvlJc w:val="left"/>
      <w:pPr>
        <w:ind w:left="1008" w:hanging="360"/>
      </w:pPr>
    </w:lvl>
    <w:lvl w:ilvl="1" w:tplc="041A0019" w:tentative="1">
      <w:start w:val="1"/>
      <w:numFmt w:val="lowerLetter"/>
      <w:lvlText w:val="%2."/>
      <w:lvlJc w:val="left"/>
      <w:pPr>
        <w:ind w:left="1728" w:hanging="360"/>
      </w:pPr>
    </w:lvl>
    <w:lvl w:ilvl="2" w:tplc="041A001B" w:tentative="1">
      <w:start w:val="1"/>
      <w:numFmt w:val="lowerRoman"/>
      <w:lvlText w:val="%3."/>
      <w:lvlJc w:val="right"/>
      <w:pPr>
        <w:ind w:left="2448" w:hanging="180"/>
      </w:pPr>
    </w:lvl>
    <w:lvl w:ilvl="3" w:tplc="041A000F" w:tentative="1">
      <w:start w:val="1"/>
      <w:numFmt w:val="decimal"/>
      <w:lvlText w:val="%4."/>
      <w:lvlJc w:val="left"/>
      <w:pPr>
        <w:ind w:left="3168" w:hanging="360"/>
      </w:pPr>
    </w:lvl>
    <w:lvl w:ilvl="4" w:tplc="041A0019" w:tentative="1">
      <w:start w:val="1"/>
      <w:numFmt w:val="lowerLetter"/>
      <w:lvlText w:val="%5."/>
      <w:lvlJc w:val="left"/>
      <w:pPr>
        <w:ind w:left="3888" w:hanging="360"/>
      </w:pPr>
    </w:lvl>
    <w:lvl w:ilvl="5" w:tplc="041A001B" w:tentative="1">
      <w:start w:val="1"/>
      <w:numFmt w:val="lowerRoman"/>
      <w:lvlText w:val="%6."/>
      <w:lvlJc w:val="right"/>
      <w:pPr>
        <w:ind w:left="4608" w:hanging="180"/>
      </w:pPr>
    </w:lvl>
    <w:lvl w:ilvl="6" w:tplc="041A000F" w:tentative="1">
      <w:start w:val="1"/>
      <w:numFmt w:val="decimal"/>
      <w:lvlText w:val="%7."/>
      <w:lvlJc w:val="left"/>
      <w:pPr>
        <w:ind w:left="5328" w:hanging="360"/>
      </w:pPr>
    </w:lvl>
    <w:lvl w:ilvl="7" w:tplc="041A0019" w:tentative="1">
      <w:start w:val="1"/>
      <w:numFmt w:val="lowerLetter"/>
      <w:lvlText w:val="%8."/>
      <w:lvlJc w:val="left"/>
      <w:pPr>
        <w:ind w:left="6048" w:hanging="360"/>
      </w:pPr>
    </w:lvl>
    <w:lvl w:ilvl="8" w:tplc="041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6" w15:restartNumberingAfterBreak="0">
    <w:nsid w:val="4189603E"/>
    <w:multiLevelType w:val="multilevel"/>
    <w:tmpl w:val="DD12A62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636"/>
        </w:tabs>
        <w:ind w:left="1564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7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556E1586"/>
    <w:multiLevelType w:val="hybridMultilevel"/>
    <w:tmpl w:val="BAFCF696"/>
    <w:lvl w:ilvl="0" w:tplc="041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6C1D5585"/>
    <w:multiLevelType w:val="multilevel"/>
    <w:tmpl w:val="F1F87D58"/>
    <w:lvl w:ilvl="0">
      <w:start w:val="1"/>
      <w:numFmt w:val="decimal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6C402C58"/>
    <w:multiLevelType w:val="hybridMultilevel"/>
    <w:tmpl w:val="38742832"/>
    <w:lvl w:ilvl="0" w:tplc="C5F4C4BE">
      <w:start w:val="1"/>
      <w:numFmt w:val="decimal"/>
      <w:pStyle w:val="figurecaption"/>
      <w:lvlText w:val="Slika %1. "/>
      <w:lvlJc w:val="left"/>
      <w:pPr>
        <w:tabs>
          <w:tab w:val="num" w:pos="328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CD32DA8"/>
    <w:multiLevelType w:val="singleLevel"/>
    <w:tmpl w:val="9AF0664C"/>
    <w:lvl w:ilvl="0">
      <w:start w:val="1"/>
      <w:numFmt w:val="upperRoman"/>
      <w:pStyle w:val="tablehead"/>
      <w:lvlText w:val="TABLICA %1. 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3119791">
    <w:abstractNumId w:val="4"/>
  </w:num>
  <w:num w:numId="2" w16cid:durableId="179709803">
    <w:abstractNumId w:val="10"/>
  </w:num>
  <w:num w:numId="3" w16cid:durableId="93210758">
    <w:abstractNumId w:val="3"/>
  </w:num>
  <w:num w:numId="4" w16cid:durableId="2059278065">
    <w:abstractNumId w:val="6"/>
  </w:num>
  <w:num w:numId="5" w16cid:durableId="643849322">
    <w:abstractNumId w:val="6"/>
  </w:num>
  <w:num w:numId="6" w16cid:durableId="782722691">
    <w:abstractNumId w:val="6"/>
  </w:num>
  <w:num w:numId="7" w16cid:durableId="846482561">
    <w:abstractNumId w:val="6"/>
  </w:num>
  <w:num w:numId="8" w16cid:durableId="1099522375">
    <w:abstractNumId w:val="7"/>
  </w:num>
  <w:num w:numId="9" w16cid:durableId="463042162">
    <w:abstractNumId w:val="11"/>
  </w:num>
  <w:num w:numId="10" w16cid:durableId="1668899635">
    <w:abstractNumId w:val="5"/>
  </w:num>
  <w:num w:numId="11" w16cid:durableId="1985036320">
    <w:abstractNumId w:val="2"/>
  </w:num>
  <w:num w:numId="12" w16cid:durableId="742141326">
    <w:abstractNumId w:val="9"/>
  </w:num>
  <w:num w:numId="13" w16cid:durableId="1368528332">
    <w:abstractNumId w:val="8"/>
  </w:num>
  <w:num w:numId="14" w16cid:durableId="69351624">
    <w:abstractNumId w:val="0"/>
  </w:num>
  <w:num w:numId="15" w16cid:durableId="1865630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3D6"/>
    <w:rsid w:val="000131A8"/>
    <w:rsid w:val="00044662"/>
    <w:rsid w:val="00047E02"/>
    <w:rsid w:val="00067486"/>
    <w:rsid w:val="00077439"/>
    <w:rsid w:val="00085422"/>
    <w:rsid w:val="000B3493"/>
    <w:rsid w:val="000B59A5"/>
    <w:rsid w:val="000D0B42"/>
    <w:rsid w:val="000E6411"/>
    <w:rsid w:val="000F39CD"/>
    <w:rsid w:val="000F6974"/>
    <w:rsid w:val="00115A61"/>
    <w:rsid w:val="0012298E"/>
    <w:rsid w:val="00135390"/>
    <w:rsid w:val="00143EB7"/>
    <w:rsid w:val="00145F42"/>
    <w:rsid w:val="00161710"/>
    <w:rsid w:val="001862A4"/>
    <w:rsid w:val="001B599F"/>
    <w:rsid w:val="001C14E1"/>
    <w:rsid w:val="001C6C56"/>
    <w:rsid w:val="001F43B1"/>
    <w:rsid w:val="0020104D"/>
    <w:rsid w:val="00205AE7"/>
    <w:rsid w:val="00207480"/>
    <w:rsid w:val="00221CE0"/>
    <w:rsid w:val="00235A68"/>
    <w:rsid w:val="002419CC"/>
    <w:rsid w:val="00241A21"/>
    <w:rsid w:val="00251A3B"/>
    <w:rsid w:val="00255787"/>
    <w:rsid w:val="00256A00"/>
    <w:rsid w:val="00275012"/>
    <w:rsid w:val="00286BA7"/>
    <w:rsid w:val="002B0CEC"/>
    <w:rsid w:val="002D02D1"/>
    <w:rsid w:val="002F1304"/>
    <w:rsid w:val="00303AC1"/>
    <w:rsid w:val="00315D7E"/>
    <w:rsid w:val="003168D0"/>
    <w:rsid w:val="0032094F"/>
    <w:rsid w:val="00361794"/>
    <w:rsid w:val="00371C02"/>
    <w:rsid w:val="00395F6C"/>
    <w:rsid w:val="00397745"/>
    <w:rsid w:val="003B7807"/>
    <w:rsid w:val="003C2AF7"/>
    <w:rsid w:val="003C366F"/>
    <w:rsid w:val="003D70FA"/>
    <w:rsid w:val="00407329"/>
    <w:rsid w:val="0042029D"/>
    <w:rsid w:val="00421F42"/>
    <w:rsid w:val="004245C4"/>
    <w:rsid w:val="004345FC"/>
    <w:rsid w:val="004448E4"/>
    <w:rsid w:val="0045156A"/>
    <w:rsid w:val="004721E7"/>
    <w:rsid w:val="00485F31"/>
    <w:rsid w:val="00504522"/>
    <w:rsid w:val="00524A1F"/>
    <w:rsid w:val="00526D05"/>
    <w:rsid w:val="00537B3E"/>
    <w:rsid w:val="0054658C"/>
    <w:rsid w:val="0055018B"/>
    <w:rsid w:val="0055713C"/>
    <w:rsid w:val="00572511"/>
    <w:rsid w:val="005760E0"/>
    <w:rsid w:val="00584573"/>
    <w:rsid w:val="00594563"/>
    <w:rsid w:val="00597B20"/>
    <w:rsid w:val="005A128E"/>
    <w:rsid w:val="005A1A29"/>
    <w:rsid w:val="005A4F03"/>
    <w:rsid w:val="005A7B27"/>
    <w:rsid w:val="005C2BF7"/>
    <w:rsid w:val="005D290D"/>
    <w:rsid w:val="005E2C61"/>
    <w:rsid w:val="005E2E85"/>
    <w:rsid w:val="005E69DB"/>
    <w:rsid w:val="00605C1D"/>
    <w:rsid w:val="006129BD"/>
    <w:rsid w:val="00616884"/>
    <w:rsid w:val="00616B5E"/>
    <w:rsid w:val="0063619E"/>
    <w:rsid w:val="00657F8C"/>
    <w:rsid w:val="00662BC4"/>
    <w:rsid w:val="00670EBF"/>
    <w:rsid w:val="00676385"/>
    <w:rsid w:val="00682668"/>
    <w:rsid w:val="006879F1"/>
    <w:rsid w:val="00690DE3"/>
    <w:rsid w:val="00697915"/>
    <w:rsid w:val="006A031A"/>
    <w:rsid w:val="006A046F"/>
    <w:rsid w:val="006B08B1"/>
    <w:rsid w:val="006B5B95"/>
    <w:rsid w:val="006E0E7B"/>
    <w:rsid w:val="006E19C4"/>
    <w:rsid w:val="007137B8"/>
    <w:rsid w:val="00730023"/>
    <w:rsid w:val="00734362"/>
    <w:rsid w:val="00753B2C"/>
    <w:rsid w:val="00763408"/>
    <w:rsid w:val="00774864"/>
    <w:rsid w:val="0078137A"/>
    <w:rsid w:val="007C205A"/>
    <w:rsid w:val="007D2089"/>
    <w:rsid w:val="007D2C9F"/>
    <w:rsid w:val="007D7C19"/>
    <w:rsid w:val="007F4A2A"/>
    <w:rsid w:val="0080190E"/>
    <w:rsid w:val="00803FD9"/>
    <w:rsid w:val="00804047"/>
    <w:rsid w:val="00852BA7"/>
    <w:rsid w:val="00871D32"/>
    <w:rsid w:val="00892FD0"/>
    <w:rsid w:val="008A03CB"/>
    <w:rsid w:val="008E3171"/>
    <w:rsid w:val="008E5950"/>
    <w:rsid w:val="0090098F"/>
    <w:rsid w:val="00926F89"/>
    <w:rsid w:val="0093792D"/>
    <w:rsid w:val="00947B77"/>
    <w:rsid w:val="00953C8E"/>
    <w:rsid w:val="009675D3"/>
    <w:rsid w:val="009710C3"/>
    <w:rsid w:val="0097353F"/>
    <w:rsid w:val="00975955"/>
    <w:rsid w:val="009821C6"/>
    <w:rsid w:val="009826AE"/>
    <w:rsid w:val="009A31A0"/>
    <w:rsid w:val="009A4FCE"/>
    <w:rsid w:val="009C0BE9"/>
    <w:rsid w:val="009C6F37"/>
    <w:rsid w:val="009D6FC7"/>
    <w:rsid w:val="009F51D9"/>
    <w:rsid w:val="009F76A2"/>
    <w:rsid w:val="00A02BAA"/>
    <w:rsid w:val="00A12E6C"/>
    <w:rsid w:val="00A137DF"/>
    <w:rsid w:val="00A235D8"/>
    <w:rsid w:val="00A2407A"/>
    <w:rsid w:val="00A407CF"/>
    <w:rsid w:val="00A42A65"/>
    <w:rsid w:val="00A5065B"/>
    <w:rsid w:val="00A6238E"/>
    <w:rsid w:val="00A821CA"/>
    <w:rsid w:val="00AC3004"/>
    <w:rsid w:val="00AC695A"/>
    <w:rsid w:val="00AD0A2F"/>
    <w:rsid w:val="00AD219E"/>
    <w:rsid w:val="00AD31A0"/>
    <w:rsid w:val="00AE0AD5"/>
    <w:rsid w:val="00AE1EB5"/>
    <w:rsid w:val="00AE4A67"/>
    <w:rsid w:val="00AF48C5"/>
    <w:rsid w:val="00B07106"/>
    <w:rsid w:val="00B1178D"/>
    <w:rsid w:val="00B30DD5"/>
    <w:rsid w:val="00B37834"/>
    <w:rsid w:val="00B53826"/>
    <w:rsid w:val="00B57A1C"/>
    <w:rsid w:val="00B741F9"/>
    <w:rsid w:val="00B80410"/>
    <w:rsid w:val="00B907F5"/>
    <w:rsid w:val="00B91BE8"/>
    <w:rsid w:val="00BA0470"/>
    <w:rsid w:val="00BA7AE0"/>
    <w:rsid w:val="00BB6ED9"/>
    <w:rsid w:val="00BD6148"/>
    <w:rsid w:val="00BE06A1"/>
    <w:rsid w:val="00BF30E1"/>
    <w:rsid w:val="00C03285"/>
    <w:rsid w:val="00C06477"/>
    <w:rsid w:val="00C16214"/>
    <w:rsid w:val="00C22BE8"/>
    <w:rsid w:val="00C32CDA"/>
    <w:rsid w:val="00C53F0D"/>
    <w:rsid w:val="00C543B3"/>
    <w:rsid w:val="00C54F57"/>
    <w:rsid w:val="00C70D49"/>
    <w:rsid w:val="00C8508E"/>
    <w:rsid w:val="00C87B3E"/>
    <w:rsid w:val="00C908FD"/>
    <w:rsid w:val="00C92590"/>
    <w:rsid w:val="00CA5500"/>
    <w:rsid w:val="00CB10AF"/>
    <w:rsid w:val="00CC20B4"/>
    <w:rsid w:val="00CD4F28"/>
    <w:rsid w:val="00CE73BE"/>
    <w:rsid w:val="00CF19CD"/>
    <w:rsid w:val="00CF5EA7"/>
    <w:rsid w:val="00CF7114"/>
    <w:rsid w:val="00D04F5C"/>
    <w:rsid w:val="00D12F67"/>
    <w:rsid w:val="00D13065"/>
    <w:rsid w:val="00D33BCD"/>
    <w:rsid w:val="00D530E5"/>
    <w:rsid w:val="00D53914"/>
    <w:rsid w:val="00D55A94"/>
    <w:rsid w:val="00D5671F"/>
    <w:rsid w:val="00D71CAE"/>
    <w:rsid w:val="00D734BF"/>
    <w:rsid w:val="00D7405C"/>
    <w:rsid w:val="00DA071B"/>
    <w:rsid w:val="00DB66C8"/>
    <w:rsid w:val="00DB7C9F"/>
    <w:rsid w:val="00DD6A42"/>
    <w:rsid w:val="00DE07B0"/>
    <w:rsid w:val="00DE68A7"/>
    <w:rsid w:val="00DF01C4"/>
    <w:rsid w:val="00E02BE6"/>
    <w:rsid w:val="00E03122"/>
    <w:rsid w:val="00E04526"/>
    <w:rsid w:val="00E26BD0"/>
    <w:rsid w:val="00E5214E"/>
    <w:rsid w:val="00E66D85"/>
    <w:rsid w:val="00E80C6E"/>
    <w:rsid w:val="00E81563"/>
    <w:rsid w:val="00E83B34"/>
    <w:rsid w:val="00E87B0E"/>
    <w:rsid w:val="00E9164E"/>
    <w:rsid w:val="00EA5198"/>
    <w:rsid w:val="00EC3705"/>
    <w:rsid w:val="00ED13D6"/>
    <w:rsid w:val="00ED1C58"/>
    <w:rsid w:val="00EE45C9"/>
    <w:rsid w:val="00EF6D28"/>
    <w:rsid w:val="00F02FB9"/>
    <w:rsid w:val="00F30EEA"/>
    <w:rsid w:val="00F34D1B"/>
    <w:rsid w:val="00F361B4"/>
    <w:rsid w:val="00F848C3"/>
    <w:rsid w:val="00F86E52"/>
    <w:rsid w:val="00F950D9"/>
    <w:rsid w:val="00FA1F6B"/>
    <w:rsid w:val="00FA75FD"/>
    <w:rsid w:val="00FB1739"/>
    <w:rsid w:val="00FB3E7D"/>
    <w:rsid w:val="00FB75BA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38D5A8E2"/>
  <w15:docId w15:val="{2DD716F5-22AC-4484-B959-6E192FBF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AE4A67"/>
    <w:pPr>
      <w:keepNext/>
      <w:keepLines/>
      <w:numPr>
        <w:ilvl w:val="1"/>
        <w:numId w:val="5"/>
      </w:numPr>
      <w:tabs>
        <w:tab w:val="clear" w:pos="1636"/>
        <w:tab w:val="left" w:pos="357"/>
      </w:tabs>
      <w:spacing w:before="120" w:after="60"/>
      <w:ind w:left="288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pPr>
      <w:numPr>
        <w:ilvl w:val="3"/>
        <w:numId w:val="7"/>
      </w:numPr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link w:val="AbstractChar"/>
    <w:pPr>
      <w:spacing w:after="200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BodyText">
    <w:name w:val="Body Text"/>
    <w:basedOn w:val="Normal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BodyText"/>
    <w:pPr>
      <w:numPr>
        <w:numId w:val="1"/>
      </w:numPr>
    </w:pPr>
  </w:style>
  <w:style w:type="paragraph" w:customStyle="1" w:styleId="equation">
    <w:name w:val="equation"/>
    <w:basedOn w:val="Normal"/>
    <w:rsid w:val="00690DE3"/>
    <w:pPr>
      <w:tabs>
        <w:tab w:val="center" w:pos="2325"/>
        <w:tab w:val="right" w:pos="4649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E02BE6"/>
    <w:pPr>
      <w:numPr>
        <w:numId w:val="2"/>
      </w:numPr>
      <w:spacing w:before="80" w:after="200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StyleAbstractItalic">
    <w:name w:val="Style Abstract + Italic"/>
    <w:basedOn w:val="Abstract"/>
    <w:link w:val="StyleAbstractItalicChar"/>
    <w:rsid w:val="00B57A1C"/>
    <w:rPr>
      <w:rFonts w:eastAsia="MS Mincho"/>
      <w:i/>
      <w:iCs/>
    </w:rPr>
  </w:style>
  <w:style w:type="character" w:customStyle="1" w:styleId="AbstractChar">
    <w:name w:val="Abstract Char"/>
    <w:link w:val="Abstract"/>
    <w:locked/>
    <w:rsid w:val="00B57A1C"/>
    <w:rPr>
      <w:b/>
      <w:bCs/>
      <w:sz w:val="18"/>
      <w:szCs w:val="18"/>
      <w:lang w:val="en-US" w:eastAsia="en-US" w:bidi="ar-SA"/>
    </w:rPr>
  </w:style>
  <w:style w:type="character" w:customStyle="1" w:styleId="StyleAbstractItalicChar">
    <w:name w:val="Style Abstract + Italic Char"/>
    <w:link w:val="StyleAbstractItalic"/>
    <w:locked/>
    <w:rsid w:val="00B57A1C"/>
    <w:rPr>
      <w:rFonts w:eastAsia="MS Mincho"/>
      <w:b/>
      <w:bCs/>
      <w:i/>
      <w:iCs/>
      <w:sz w:val="18"/>
      <w:szCs w:val="18"/>
      <w:lang w:val="en-US" w:eastAsia="en-US" w:bidi="ar-SA"/>
    </w:rPr>
  </w:style>
  <w:style w:type="paragraph" w:customStyle="1" w:styleId="Noviparagraf">
    <w:name w:val="Novi paragraf"/>
    <w:basedOn w:val="Normal"/>
    <w:rsid w:val="00526D05"/>
    <w:pPr>
      <w:autoSpaceDE w:val="0"/>
      <w:autoSpaceDN w:val="0"/>
      <w:spacing w:before="48" w:line="220" w:lineRule="exact"/>
      <w:ind w:firstLine="202"/>
      <w:jc w:val="both"/>
    </w:pPr>
    <w:rPr>
      <w:rFonts w:ascii="CG Times (W1)" w:eastAsia="Times New Roman" w:hAnsi="CG Times (W1)"/>
    </w:rPr>
  </w:style>
  <w:style w:type="paragraph" w:styleId="BalloonText">
    <w:name w:val="Balloon Text"/>
    <w:basedOn w:val="Normal"/>
    <w:link w:val="BalloonTextChar"/>
    <w:rsid w:val="00A12E6C"/>
    <w:rPr>
      <w:rFonts w:ascii="Tahoma" w:hAnsi="Tahoma"/>
      <w:sz w:val="16"/>
      <w:szCs w:val="16"/>
      <w:lang w:val="en-US"/>
    </w:rPr>
  </w:style>
  <w:style w:type="character" w:customStyle="1" w:styleId="BalloonTextChar">
    <w:name w:val="Balloon Text Char"/>
    <w:link w:val="BalloonText"/>
    <w:rsid w:val="00A12E6C"/>
    <w:rPr>
      <w:rFonts w:ascii="Tahoma" w:hAnsi="Tahoma" w:cs="Tahoma"/>
      <w:sz w:val="16"/>
      <w:szCs w:val="16"/>
      <w:lang w:val="en-US" w:eastAsia="en-US"/>
    </w:rPr>
  </w:style>
  <w:style w:type="character" w:styleId="FootnoteReference">
    <w:name w:val="footnote reference"/>
    <w:rsid w:val="00C22BE8"/>
    <w:rPr>
      <w:vertAlign w:val="superscript"/>
    </w:rPr>
  </w:style>
  <w:style w:type="paragraph" w:styleId="FootnoteText">
    <w:name w:val="footnote text"/>
    <w:basedOn w:val="Normal"/>
    <w:semiHidden/>
    <w:rsid w:val="0042029D"/>
    <w:pPr>
      <w:autoSpaceDE w:val="0"/>
      <w:autoSpaceDN w:val="0"/>
      <w:jc w:val="left"/>
    </w:pPr>
    <w:rPr>
      <w:rFonts w:ascii="CG Times (W1)" w:eastAsia="Times New Roman" w:hAnsi="CG Times (W1)"/>
      <w:lang w:eastAsia="hr-HR"/>
    </w:rPr>
  </w:style>
  <w:style w:type="character" w:styleId="CommentReference">
    <w:name w:val="annotation reference"/>
    <w:rsid w:val="00BA7A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A7AE0"/>
    <w:rPr>
      <w:lang w:val="x-none"/>
    </w:rPr>
  </w:style>
  <w:style w:type="character" w:customStyle="1" w:styleId="CommentTextChar">
    <w:name w:val="Comment Text Char"/>
    <w:link w:val="CommentText"/>
    <w:rsid w:val="00BA7AE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A7AE0"/>
    <w:rPr>
      <w:b/>
      <w:bCs/>
    </w:rPr>
  </w:style>
  <w:style w:type="character" w:customStyle="1" w:styleId="CommentSubjectChar">
    <w:name w:val="Comment Subject Char"/>
    <w:link w:val="CommentSubject"/>
    <w:rsid w:val="00BA7AE0"/>
    <w:rPr>
      <w:b/>
      <w:bCs/>
      <w:lang w:eastAsia="en-US"/>
    </w:rPr>
  </w:style>
  <w:style w:type="paragraph" w:styleId="Revision">
    <w:name w:val="Revision"/>
    <w:hidden/>
    <w:uiPriority w:val="99"/>
    <w:semiHidden/>
    <w:rsid w:val="0054658C"/>
    <w:rPr>
      <w:lang w:eastAsia="en-US"/>
    </w:rPr>
  </w:style>
  <w:style w:type="character" w:styleId="Emphasis">
    <w:name w:val="Emphasis"/>
    <w:basedOn w:val="DefaultParagraphFont"/>
    <w:qFormat/>
    <w:rsid w:val="00E5214E"/>
    <w:rPr>
      <w:i/>
      <w:iCs/>
    </w:rPr>
  </w:style>
  <w:style w:type="paragraph" w:styleId="Caption">
    <w:name w:val="caption"/>
    <w:basedOn w:val="Normal"/>
    <w:next w:val="Normal"/>
    <w:unhideWhenUsed/>
    <w:qFormat/>
    <w:rsid w:val="0012298E"/>
    <w:pPr>
      <w:spacing w:after="200"/>
    </w:pPr>
    <w:rPr>
      <w:i/>
      <w:iCs/>
      <w:color w:val="1F497D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12298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9DD32-87D5-4D49-8807-396C880EC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adamergoti@gmail.com</cp:lastModifiedBy>
  <cp:revision>6</cp:revision>
  <cp:lastPrinted>2010-11-22T13:17:00Z</cp:lastPrinted>
  <dcterms:created xsi:type="dcterms:W3CDTF">2021-03-09T16:07:00Z</dcterms:created>
  <dcterms:modified xsi:type="dcterms:W3CDTF">2024-01-21T14:40:00Z</dcterms:modified>
</cp:coreProperties>
</file>