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pict>
          <v:shape id="_x0000_s1026" o:spid="_x0000_s1026" o:spt="202" type="#_x0000_t202" style="position:absolute;left:0pt;margin-left:23.25pt;margin-top:2.7pt;height:102.3pt;width:153.75pt;z-index:251657216;mso-width-relative:page;mso-height-relative:page;" stroked="f" coordsize="21600,21600">
            <v:path/>
            <v:fill focussize="0,0"/>
            <v:stroke on="f" joinstyle="miter"/>
            <v:imagedata o:title=""/>
            <o:lock v:ext="edit"/>
            <v:textbox>
              <w:txbxContent>
                <w:p>
                  <w:pPr>
                    <w:rPr>
                      <w:rFonts w:ascii="仿宋_GB2312" w:eastAsia="仿宋_GB2312"/>
                      <w:b/>
                      <w:w w:val="50"/>
                      <w:sz w:val="72"/>
                      <w:szCs w:val="72"/>
                    </w:rPr>
                  </w:pPr>
                  <w:r>
                    <w:rPr>
                      <w:rFonts w:hint="eastAsia" w:ascii="仿宋_GB2312" w:eastAsia="仿宋_GB2312"/>
                      <w:b/>
                      <w:w w:val="50"/>
                      <w:sz w:val="72"/>
                      <w:szCs w:val="72"/>
                    </w:rPr>
                    <w:t>广西壮族自治区</w:t>
                  </w:r>
                </w:p>
                <w:p>
                  <w:pPr>
                    <w:rPr>
                      <w:rFonts w:ascii="仿宋_GB2312" w:eastAsia="仿宋_GB2312"/>
                      <w:b/>
                      <w:w w:val="50"/>
                      <w:sz w:val="72"/>
                      <w:szCs w:val="72"/>
                    </w:rPr>
                  </w:pPr>
                  <w:r>
                    <w:rPr>
                      <w:rFonts w:hint="eastAsia" w:ascii="仿宋_GB2312" w:eastAsia="仿宋_GB2312"/>
                      <w:b/>
                      <w:w w:val="50"/>
                      <w:sz w:val="72"/>
                      <w:szCs w:val="72"/>
                    </w:rPr>
                    <w:t>公    安    厅</w:t>
                  </w:r>
                </w:p>
              </w:txbxContent>
            </v:textbox>
          </v:shape>
        </w:pict>
      </w:r>
      <w:r>
        <w:pict>
          <v:shape id="_x0000_s1027" o:spid="_x0000_s1027" o:spt="202" type="#_x0000_t202" style="position:absolute;left:0pt;margin-left:151.5pt;margin-top:6.3pt;height:98.7pt;width:257.25pt;z-index:-251658240;mso-width-relative:page;mso-height-relative:page;" stroked="f" coordsize="21600,21600">
            <v:path/>
            <v:fill focussize="0,0"/>
            <v:stroke on="f" joinstyle="miter"/>
            <v:imagedata o:title=""/>
            <o:lock v:ext="edit"/>
            <v:textbox>
              <w:txbxContent>
                <w:p>
                  <w:pPr>
                    <w:rPr>
                      <w:rFonts w:ascii="仿宋_GB2312" w:eastAsia="仿宋_GB2312"/>
                      <w:b/>
                      <w:spacing w:val="-20"/>
                      <w:w w:val="66"/>
                      <w:sz w:val="110"/>
                      <w:szCs w:val="110"/>
                    </w:rPr>
                  </w:pPr>
                  <w:r>
                    <w:rPr>
                      <w:rFonts w:hint="eastAsia" w:ascii="仿宋_GB2312" w:eastAsia="仿宋_GB2312"/>
                      <w:b/>
                      <w:spacing w:val="-20"/>
                      <w:w w:val="66"/>
                      <w:sz w:val="110"/>
                      <w:szCs w:val="110"/>
                    </w:rPr>
                    <w:t xml:space="preserve"> 内部传真电报</w:t>
                  </w:r>
                </w:p>
              </w:txbxContent>
            </v:textbox>
          </v:shape>
        </w:pict>
      </w:r>
    </w:p>
    <w:p/>
    <w:p/>
    <w:p/>
    <w:p/>
    <w:p/>
    <w:p/>
    <w:p>
      <w:pPr>
        <w:jc w:val="left"/>
      </w:pPr>
      <w:r>
        <w:rPr>
          <w:sz w:val="28"/>
          <w:szCs w:val="28"/>
        </w:rPr>
        <w:t xml:space="preserve">      </w:t>
      </w:r>
    </w:p>
    <w:tbl>
      <w:tblPr>
        <w:tblStyle w:val="4"/>
        <w:tblW w:w="9495"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791"/>
        <w:gridCol w:w="803"/>
        <w:gridCol w:w="36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5061" w:type="dxa"/>
            <w:gridSpan w:val="2"/>
            <w:tcBorders>
              <w:top w:val="nil"/>
              <w:left w:val="nil"/>
              <w:bottom w:val="single" w:color="auto" w:sz="4" w:space="0"/>
              <w:right w:val="nil"/>
            </w:tcBorders>
          </w:tcPr>
          <w:p>
            <w:pPr>
              <w:rPr>
                <w:rFonts w:ascii="宋体" w:hAnsi="宋体"/>
                <w:sz w:val="28"/>
              </w:rPr>
            </w:pPr>
            <w:r>
              <w:rPr>
                <w:rFonts w:hint="eastAsia" w:ascii="仿宋_GB2312" w:hAnsi="仿宋_GB2312" w:eastAsia="仿宋_GB2312" w:cs="仿宋_GB2312"/>
                <w:w w:val="95"/>
                <w:sz w:val="32"/>
                <w:szCs w:val="32"/>
              </w:rPr>
              <w:t>桂公（环食药）网传〔2025〕107号</w:t>
            </w:r>
          </w:p>
        </w:tc>
        <w:tc>
          <w:tcPr>
            <w:tcW w:w="4437" w:type="dxa"/>
            <w:gridSpan w:val="2"/>
            <w:tcBorders>
              <w:top w:val="nil"/>
              <w:left w:val="nil"/>
              <w:bottom w:val="single" w:color="auto" w:sz="4" w:space="0"/>
              <w:right w:val="nil"/>
            </w:tcBorders>
          </w:tcPr>
          <w:p>
            <w:pPr>
              <w:wordWrap w:val="0"/>
              <w:ind w:right="160"/>
              <w:jc w:val="right"/>
              <w:rPr>
                <w:rFonts w:ascii="宋体" w:hAnsi="宋体"/>
                <w:sz w:val="28"/>
              </w:rPr>
            </w:pPr>
            <w:r>
              <w:rPr>
                <w:rFonts w:hint="eastAsia" w:ascii="仿宋_GB2312" w:eastAsia="仿宋_GB2312"/>
                <w:sz w:val="32"/>
                <w:szCs w:val="32"/>
              </w:rPr>
              <w:t>签发人:</w:t>
            </w:r>
            <w:r>
              <w:rPr>
                <w:rFonts w:hint="eastAsia" w:ascii="楷体_GB2312" w:eastAsia="楷体_GB2312"/>
                <w:sz w:val="32"/>
                <w:szCs w:val="32"/>
              </w:rPr>
              <w:t xml:space="preserve"> </w:t>
            </w:r>
            <w:r>
              <w:rPr>
                <w:rFonts w:ascii="楷体_GB2312" w:eastAsia="楷体_GB2312"/>
                <w:sz w:val="32"/>
                <w:u w:color="auto"/>
              </w:rPr>
              <w:t>伍晓阳</w:t>
            </w:r>
            <w:r>
              <w:rPr>
                <w:rFonts w:hint="eastAsia" w:ascii="黑体" w:eastAsia="黑体"/>
                <w:sz w:val="32"/>
                <w:szCs w:val="32"/>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 w:hRule="atLeast"/>
        </w:trPr>
        <w:tc>
          <w:tcPr>
            <w:tcW w:w="2269" w:type="dxa"/>
            <w:tcBorders>
              <w:top w:val="single" w:color="auto" w:sz="4" w:space="0"/>
              <w:left w:val="nil"/>
              <w:bottom w:val="single" w:color="auto" w:sz="4" w:space="0"/>
              <w:right w:val="nil"/>
            </w:tcBorders>
          </w:tcPr>
          <w:p>
            <w:pPr>
              <w:rPr>
                <w:rFonts w:ascii="仿宋_GB2312" w:eastAsia="仿宋_GB2312"/>
                <w:sz w:val="28"/>
                <w:szCs w:val="28"/>
              </w:rPr>
            </w:pPr>
            <w:r>
              <w:rPr>
                <w:rFonts w:hint="eastAsia" w:ascii="仿宋_GB2312" w:eastAsia="仿宋_GB2312"/>
                <w:sz w:val="28"/>
                <w:szCs w:val="28"/>
              </w:rPr>
              <w:t>等级：</w:t>
            </w:r>
            <w:r>
              <w:rPr>
                <w:rFonts w:hint="eastAsia" w:ascii="仿宋_GB2312" w:hAnsi="宋体" w:eastAsia="仿宋_GB2312" w:cs="宋体"/>
                <w:bCs/>
                <w:kern w:val="0"/>
                <w:sz w:val="28"/>
                <w:szCs w:val="28"/>
              </w:rPr>
              <w:t>特急</w:t>
            </w:r>
          </w:p>
        </w:tc>
        <w:tc>
          <w:tcPr>
            <w:tcW w:w="3595" w:type="dxa"/>
            <w:gridSpan w:val="2"/>
            <w:tcBorders>
              <w:top w:val="single" w:color="auto" w:sz="4" w:space="0"/>
              <w:left w:val="nil"/>
              <w:bottom w:val="single" w:color="auto" w:sz="4" w:space="0"/>
              <w:right w:val="nil"/>
            </w:tcBorders>
          </w:tcPr>
          <w:p>
            <w:pPr>
              <w:rPr>
                <w:rFonts w:ascii="仿宋_GB2312" w:eastAsia="仿宋_GB2312"/>
                <w:sz w:val="28"/>
                <w:szCs w:val="28"/>
              </w:rPr>
            </w:pPr>
            <w:r>
              <w:rPr>
                <w:rFonts w:hint="eastAsia" w:ascii="仿宋_GB2312" w:eastAsia="仿宋_GB2312"/>
                <w:w w:val="90"/>
                <w:sz w:val="28"/>
                <w:szCs w:val="28"/>
              </w:rPr>
              <w:t>发电时间：</w:t>
            </w:r>
            <w:r>
              <w:rPr>
                <w:rFonts w:ascii="仿宋_GB2312" w:eastAsia="仿宋_GB2312"/>
                <w:sz w:val="28"/>
                <w:szCs w:val="28"/>
              </w:rPr>
              <w:t>2025</w:t>
            </w:r>
            <w:r>
              <w:rPr>
                <w:rFonts w:ascii="仿宋_GB2312" w:eastAsia="仿宋_GB2312"/>
                <w:sz w:val="28"/>
                <w:u w:color="auto"/>
              </w:rPr>
              <w:t>-03-27</w:t>
            </w:r>
            <w:r>
              <w:rPr>
                <w:rFonts w:hint="eastAsia" w:ascii="仿宋_GB2312" w:eastAsia="仿宋_GB2312"/>
                <w:sz w:val="28"/>
                <w:u w:color="auto"/>
                <w:lang w:val="en-US" w:eastAsia="zh-CN"/>
              </w:rPr>
              <w:t xml:space="preserve"> </w:t>
            </w:r>
            <w:r>
              <w:rPr>
                <w:rFonts w:ascii="仿宋_GB2312" w:eastAsia="仿宋_GB2312"/>
                <w:sz w:val="28"/>
                <w:u w:color="auto"/>
              </w:rPr>
              <w:t>10:42</w:t>
            </w:r>
          </w:p>
        </w:tc>
        <w:tc>
          <w:tcPr>
            <w:tcW w:w="3634" w:type="dxa"/>
            <w:tcBorders>
              <w:top w:val="single" w:color="auto" w:sz="4" w:space="0"/>
              <w:left w:val="nil"/>
              <w:bottom w:val="single" w:color="auto" w:sz="4" w:space="0"/>
              <w:right w:val="nil"/>
            </w:tcBorders>
          </w:tcPr>
          <w:p>
            <w:pPr>
              <w:rPr>
                <w:rFonts w:ascii="仿宋_GB2312" w:eastAsia="仿宋_GB2312"/>
                <w:sz w:val="28"/>
                <w:szCs w:val="28"/>
              </w:rPr>
            </w:pPr>
            <w:r>
              <w:rPr>
                <w:rFonts w:hint="eastAsia" w:ascii="仿宋_GB2312" w:eastAsia="仿宋_GB2312"/>
                <w:sz w:val="28"/>
                <w:szCs w:val="28"/>
              </w:rPr>
              <w:t>承办单位：环食药侦总队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9498" w:type="dxa"/>
            <w:gridSpan w:val="4"/>
            <w:tcBorders>
              <w:top w:val="single" w:color="auto" w:sz="4" w:space="0"/>
              <w:left w:val="nil"/>
              <w:bottom w:val="single" w:color="auto" w:sz="4" w:space="0"/>
              <w:right w:val="nil"/>
            </w:tcBorders>
          </w:tcPr>
          <w:p>
            <w:pPr>
              <w:rPr>
                <w:rFonts w:ascii="仿宋_GB2312" w:eastAsia="仿宋_GB2312"/>
                <w:sz w:val="28"/>
                <w:szCs w:val="28"/>
              </w:rPr>
            </w:pPr>
            <w:r>
              <w:rPr>
                <w:rFonts w:hint="eastAsia" w:ascii="仿宋_GB2312" w:eastAsia="仿宋_GB2312"/>
                <w:sz w:val="28"/>
                <w:szCs w:val="28"/>
              </w:rPr>
              <w:t>抄送：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3" w:hRule="atLeast"/>
        </w:trPr>
        <w:tc>
          <w:tcPr>
            <w:tcW w:w="9498" w:type="dxa"/>
            <w:gridSpan w:val="4"/>
            <w:tcBorders>
              <w:top w:val="nil"/>
              <w:left w:val="nil"/>
              <w:bottom w:val="nil"/>
              <w:right w:val="nil"/>
            </w:tcBorders>
          </w:tcPr>
          <w:p>
            <w:pPr>
              <w:keepNext w:val="0"/>
              <w:keepLines w:val="0"/>
              <w:pageBreakBefore w:val="0"/>
              <w:widowControl w:val="0"/>
              <w:kinsoku/>
              <w:wordWrap/>
              <w:overflowPunct/>
              <w:topLinePunct w:val="0"/>
              <w:autoSpaceDE/>
              <w:autoSpaceDN/>
              <w:bidi w:val="0"/>
              <w:spacing w:line="540" w:lineRule="exact"/>
              <w:textAlignment w:val="auto"/>
              <w:rPr>
                <w:rFonts w:ascii="仿宋_GB2312" w:eastAsia="仿宋_GB2312"/>
                <w:sz w:val="32"/>
                <w:szCs w:val="32"/>
              </w:rPr>
            </w:pPr>
          </w:p>
          <w:p>
            <w:pPr>
              <w:pStyle w:val="14"/>
              <w:keepNext w:val="0"/>
              <w:keepLines w:val="0"/>
              <w:pageBreakBefore w:val="0"/>
              <w:widowControl w:val="0"/>
              <w:kinsoku/>
              <w:wordWrap/>
              <w:overflowPunct/>
              <w:topLinePunct w:val="0"/>
              <w:autoSpaceDE/>
              <w:autoSpaceDN/>
              <w:bidi w:val="0"/>
              <w:adjustRightInd w:val="0"/>
              <w:snapToGrid w:val="0"/>
              <w:spacing w:line="540" w:lineRule="exact"/>
              <w:ind w:right="0" w:rightChars="0"/>
              <w:jc w:val="center"/>
              <w:textAlignment w:val="auto"/>
              <w:outlineLvl w:val="9"/>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广西壮族自治区公安厅</w:t>
            </w:r>
            <w:r>
              <w:rPr>
                <w:rFonts w:hint="eastAsia" w:ascii="方正小标宋简体" w:hAnsi="方正小标宋简体" w:eastAsia="方正小标宋简体" w:cs="方正小标宋简体"/>
                <w:sz w:val="44"/>
                <w:szCs w:val="44"/>
                <w:lang w:eastAsia="zh-CN"/>
              </w:rPr>
              <w:t>知识产权</w:t>
            </w:r>
            <w:r>
              <w:rPr>
                <w:rFonts w:hint="eastAsia" w:ascii="方正小标宋简体" w:hAnsi="方正小标宋简体" w:eastAsia="方正小标宋简体" w:cs="方正小标宋简体"/>
                <w:sz w:val="44"/>
                <w:szCs w:val="44"/>
              </w:rPr>
              <w:t>犯罪侦查总队</w:t>
            </w:r>
          </w:p>
          <w:p>
            <w:pPr>
              <w:pStyle w:val="14"/>
              <w:keepNext w:val="0"/>
              <w:keepLines w:val="0"/>
              <w:pageBreakBefore w:val="0"/>
              <w:widowControl w:val="0"/>
              <w:kinsoku/>
              <w:wordWrap/>
              <w:overflowPunct/>
              <w:topLinePunct w:val="0"/>
              <w:autoSpaceDE/>
              <w:autoSpaceDN/>
              <w:bidi w:val="0"/>
              <w:adjustRightInd w:val="0"/>
              <w:snapToGrid w:val="0"/>
              <w:spacing w:line="540" w:lineRule="exact"/>
              <w:ind w:right="0" w:rightChars="0"/>
              <w:jc w:val="center"/>
              <w:textAlignment w:val="auto"/>
              <w:outlineLvl w:val="9"/>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关于开展打击侵犯知识产权和制售</w:t>
            </w:r>
          </w:p>
          <w:p>
            <w:pPr>
              <w:pStyle w:val="14"/>
              <w:keepNext w:val="0"/>
              <w:keepLines w:val="0"/>
              <w:pageBreakBefore w:val="0"/>
              <w:widowControl w:val="0"/>
              <w:kinsoku/>
              <w:wordWrap/>
              <w:overflowPunct/>
              <w:topLinePunct w:val="0"/>
              <w:autoSpaceDE/>
              <w:autoSpaceDN/>
              <w:bidi w:val="0"/>
              <w:adjustRightInd w:val="0"/>
              <w:snapToGrid w:val="0"/>
              <w:spacing w:line="540" w:lineRule="exact"/>
              <w:ind w:right="0" w:rightChars="0"/>
              <w:jc w:val="center"/>
              <w:textAlignment w:val="auto"/>
              <w:outlineLvl w:val="9"/>
              <w:rPr>
                <w:rFonts w:hint="eastAsia" w:ascii="黑体" w:hAnsi="黑体" w:eastAsia="黑体" w:cs="黑体"/>
                <w:color w:val="000000"/>
                <w:sz w:val="44"/>
                <w:szCs w:val="44"/>
                <w:lang w:eastAsia="zh-CN"/>
              </w:rPr>
            </w:pPr>
            <w:r>
              <w:rPr>
                <w:rFonts w:hint="eastAsia" w:ascii="方正小标宋简体" w:hAnsi="方正小标宋简体" w:eastAsia="方正小标宋简体" w:cs="方正小标宋简体"/>
                <w:sz w:val="44"/>
                <w:szCs w:val="44"/>
              </w:rPr>
              <w:t>伪劣商品犯罪专项调研的报告</w:t>
            </w:r>
          </w:p>
          <w:p>
            <w:pPr>
              <w:pStyle w:val="14"/>
              <w:keepNext w:val="0"/>
              <w:keepLines w:val="0"/>
              <w:pageBreakBefore w:val="0"/>
              <w:widowControl w:val="0"/>
              <w:kinsoku/>
              <w:wordWrap/>
              <w:overflowPunct/>
              <w:topLinePunct w:val="0"/>
              <w:autoSpaceDE/>
              <w:autoSpaceDN/>
              <w:bidi w:val="0"/>
              <w:adjustRightInd w:val="0"/>
              <w:snapToGrid w:val="0"/>
              <w:spacing w:line="540" w:lineRule="exact"/>
              <w:ind w:right="0" w:rightChars="0"/>
              <w:textAlignment w:val="auto"/>
              <w:outlineLvl w:val="9"/>
              <w:rPr>
                <w:rFonts w:hint="eastAsia" w:eastAsia="仿宋_GB2312"/>
                <w:color w:val="000000"/>
                <w:sz w:val="32"/>
                <w:szCs w:val="32"/>
                <w:lang w:eastAsia="zh-CN"/>
              </w:rPr>
            </w:pPr>
          </w:p>
          <w:p>
            <w:pPr>
              <w:pStyle w:val="15"/>
              <w:keepNext w:val="0"/>
              <w:keepLines w:val="0"/>
              <w:pageBreakBefore w:val="0"/>
              <w:widowControl w:val="0"/>
              <w:kinsoku/>
              <w:wordWrap/>
              <w:overflowPunct/>
              <w:topLinePunct w:val="0"/>
              <w:autoSpaceDE/>
              <w:autoSpaceDN/>
              <w:bidi w:val="0"/>
              <w:adjustRightInd w:val="0"/>
              <w:snapToGrid/>
              <w:spacing w:line="540" w:lineRule="exact"/>
              <w:ind w:right="0" w:rightChars="0" w:firstLine="0" w:firstLineChars="0"/>
              <w:jc w:val="both"/>
              <w:textAlignment w:val="auto"/>
              <w:outlineLvl w:val="9"/>
              <w:rPr>
                <w:rFonts w:hint="eastAsia"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14:textFill>
                  <w14:solidFill>
                    <w14:schemeClr w14:val="tx1"/>
                  </w14:solidFill>
                </w14:textFill>
              </w:rPr>
              <w:t>公安部七局：</w:t>
            </w:r>
          </w:p>
          <w:p>
            <w:pPr>
              <w:pStyle w:val="8"/>
              <w:keepNext w:val="0"/>
              <w:keepLines w:val="0"/>
              <w:pageBreakBefore w:val="0"/>
              <w:widowControl w:val="0"/>
              <w:kinsoku/>
              <w:wordWrap/>
              <w:overflowPunct/>
              <w:topLinePunct w:val="0"/>
              <w:autoSpaceDE/>
              <w:autoSpaceDN/>
              <w:bidi w:val="0"/>
              <w:adjustRightInd w:val="0"/>
              <w:snapToGrid/>
              <w:spacing w:line="540" w:lineRule="exact"/>
              <w:ind w:right="0" w:rightChars="0" w:firstLine="640" w:firstLineChars="200"/>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eastAsia="仿宋_GB2312" w:cs="Times New Roman"/>
                <w:color w:val="000000" w:themeColor="text1"/>
                <w:sz w:val="32"/>
                <w:szCs w:val="32"/>
                <w14:textFill>
                  <w14:solidFill>
                    <w14:schemeClr w14:val="tx1"/>
                  </w14:solidFill>
                </w14:textFill>
              </w:rPr>
              <w:t>根据《</w:t>
            </w:r>
            <w:r>
              <w:rPr>
                <w:rFonts w:hint="default" w:ascii="Times New Roman" w:hAnsi="Times New Roman" w:eastAsia="仿宋_GB2312" w:cs="Times New Roman"/>
                <w:snapToGrid w:val="0"/>
                <w:color w:val="000000" w:themeColor="text1"/>
                <w:kern w:val="0"/>
                <w:sz w:val="32"/>
                <w:szCs w:val="32"/>
                <w14:textFill>
                  <w14:solidFill>
                    <w14:schemeClr w14:val="tx1"/>
                  </w14:solidFill>
                </w14:textFill>
              </w:rPr>
              <w:t>关于开展打击侵犯知识产权和制售伪劣商品犯罪工作调研的通知</w:t>
            </w:r>
            <w:r>
              <w:rPr>
                <w:rFonts w:hint="default" w:ascii="Times New Roman" w:hAnsi="Times New Roman" w:eastAsia="仿宋_GB2312" w:cs="Times New Roman"/>
                <w:color w:val="000000" w:themeColor="text1"/>
                <w:sz w:val="32"/>
                <w:szCs w:val="32"/>
                <w14:textFill>
                  <w14:solidFill>
                    <w14:schemeClr w14:val="tx1"/>
                  </w14:solidFill>
                </w14:textFill>
              </w:rPr>
              <w:t>》</w:t>
            </w:r>
            <w:bookmarkStart w:id="0" w:name="PO_TELEID"/>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eastAsia" w:ascii="Times New Roman" w:hAnsi="Times New Roman" w:eastAsia="仿宋_GB2312" w:cs="Times New Roman"/>
                <w:snapToGrid w:val="0"/>
                <w:color w:val="000000" w:themeColor="text1"/>
                <w:kern w:val="0"/>
                <w:sz w:val="32"/>
                <w:szCs w:val="32"/>
                <w:lang w:eastAsia="zh-CN"/>
                <w14:textFill>
                  <w14:solidFill>
                    <w14:schemeClr w14:val="tx1"/>
                  </w14:solidFill>
                </w14:textFill>
              </w:rPr>
              <w:t>公知侦传发</w:t>
            </w:r>
            <w:r>
              <w:rPr>
                <w:rFonts w:hint="default" w:ascii="Times New Roman" w:hAnsi="Times New Roman" w:eastAsia="仿宋_GB2312" w:cs="Times New Roman"/>
                <w:bCs/>
                <w:color w:val="000000" w:themeColor="text1"/>
                <w:sz w:val="32"/>
                <w:szCs w:val="32"/>
                <w14:textFill>
                  <w14:solidFill>
                    <w14:schemeClr w14:val="tx1"/>
                  </w14:solidFill>
                </w14:textFill>
              </w:rPr>
              <w:t>〔202</w:t>
            </w:r>
            <w:r>
              <w:rPr>
                <w:rFonts w:hint="default" w:eastAsia="仿宋_GB2312" w:cs="Times New Roman"/>
                <w:bCs/>
                <w:color w:val="000000" w:themeColor="text1"/>
                <w:sz w:val="32"/>
                <w:szCs w:val="32"/>
                <w:lang w:val="en-US" w:eastAsia="zh-CN"/>
                <w14:textFill>
                  <w14:solidFill>
                    <w14:schemeClr w14:val="tx1"/>
                  </w14:solidFill>
                </w14:textFill>
              </w:rPr>
              <w:t>5</w:t>
            </w:r>
            <w:r>
              <w:rPr>
                <w:rFonts w:hint="default" w:ascii="Times New Roman" w:hAnsi="Times New Roman" w:eastAsia="仿宋_GB2312" w:cs="Times New Roman"/>
                <w:bCs/>
                <w:color w:val="000000" w:themeColor="text1"/>
                <w:sz w:val="32"/>
                <w:szCs w:val="32"/>
                <w14:textFill>
                  <w14:solidFill>
                    <w14:schemeClr w14:val="tx1"/>
                  </w14:solidFill>
                </w14:textFill>
              </w:rPr>
              <w:t>〕</w:t>
            </w:r>
            <w:r>
              <w:rPr>
                <w:rFonts w:hint="eastAsia" w:eastAsia="仿宋_GB2312" w:cs="Times New Roman"/>
                <w:bCs/>
                <w:color w:val="000000" w:themeColor="text1"/>
                <w:sz w:val="32"/>
                <w:szCs w:val="32"/>
                <w:lang w:val="en-US" w:eastAsia="zh-CN"/>
                <w14:textFill>
                  <w14:solidFill>
                    <w14:schemeClr w14:val="tx1"/>
                  </w14:solidFill>
                </w14:textFill>
              </w:rPr>
              <w:t>9</w:t>
            </w:r>
            <w:r>
              <w:rPr>
                <w:rFonts w:hint="default" w:ascii="Times New Roman" w:hAnsi="Times New Roman" w:eastAsia="仿宋_GB2312" w:cs="Times New Roman"/>
                <w:bCs/>
                <w:color w:val="000000" w:themeColor="text1"/>
                <w:sz w:val="32"/>
                <w:szCs w:val="32"/>
                <w14:textFill>
                  <w14:solidFill>
                    <w14:schemeClr w14:val="tx1"/>
                  </w14:solidFill>
                </w14:textFill>
              </w:rPr>
              <w:t>号</w:t>
            </w:r>
            <w:bookmarkEnd w:id="0"/>
            <w:r>
              <w:rPr>
                <w:rFonts w:hint="default" w:ascii="Times New Roman" w:hAnsi="Times New Roman" w:eastAsia="仿宋_GB2312" w:cs="Times New Roman"/>
                <w:bCs/>
                <w:color w:val="000000" w:themeColor="text1"/>
                <w:sz w:val="32"/>
                <w:szCs w:val="32"/>
                <w14:textFill>
                  <w14:solidFill>
                    <w14:schemeClr w14:val="tx1"/>
                  </w14:solidFill>
                </w14:textFill>
              </w:rPr>
              <w:t>）要求</w:t>
            </w:r>
            <w:r>
              <w:rPr>
                <w:rFonts w:hint="default" w:ascii="Times New Roman" w:hAnsi="Times New Roman" w:eastAsia="仿宋_GB2312" w:cs="Times New Roman"/>
                <w:color w:val="000000" w:themeColor="text1"/>
                <w:sz w:val="32"/>
                <w:szCs w:val="32"/>
                <w14:textFill>
                  <w14:solidFill>
                    <w14:schemeClr w14:val="tx1"/>
                  </w14:solidFill>
                </w14:textFill>
              </w:rPr>
              <w:t>，我</w:t>
            </w:r>
            <w:r>
              <w:rPr>
                <w:rFonts w:hint="eastAsia" w:eastAsia="仿宋_GB2312" w:cs="Times New Roman"/>
                <w:color w:val="000000" w:themeColor="text1"/>
                <w:sz w:val="32"/>
                <w:szCs w:val="32"/>
                <w:lang w:val="en-US" w:eastAsia="zh-CN"/>
                <w14:textFill>
                  <w14:solidFill>
                    <w14:schemeClr w14:val="tx1"/>
                  </w14:solidFill>
                </w14:textFill>
              </w:rPr>
              <w:t>总队</w:t>
            </w:r>
            <w:r>
              <w:rPr>
                <w:rFonts w:hint="default" w:ascii="Times New Roman" w:hAnsi="Times New Roman" w:eastAsia="仿宋_GB2312" w:cs="Times New Roman"/>
                <w:color w:val="000000" w:themeColor="text1"/>
                <w:sz w:val="32"/>
                <w:szCs w:val="32"/>
                <w14:textFill>
                  <w14:solidFill>
                    <w14:schemeClr w14:val="tx1"/>
                  </w14:solidFill>
                </w14:textFill>
              </w:rPr>
              <w:t>高度重视，</w:t>
            </w:r>
            <w:r>
              <w:rPr>
                <w:rFonts w:hint="eastAsia" w:eastAsia="仿宋_GB2312" w:cs="Times New Roman"/>
                <w:color w:val="000000" w:themeColor="text1"/>
                <w:sz w:val="32"/>
                <w:szCs w:val="32"/>
                <w:lang w:val="en-US" w:eastAsia="zh-CN"/>
                <w14:textFill>
                  <w14:solidFill>
                    <w14:schemeClr w14:val="tx1"/>
                  </w14:solidFill>
                </w14:textFill>
              </w:rPr>
              <w:t>立即组织开展有关调研工作</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eastAsia" w:eastAsia="仿宋_GB2312" w:cs="Times New Roman"/>
                <w:color w:val="000000" w:themeColor="text1"/>
                <w:sz w:val="32"/>
                <w:szCs w:val="32"/>
                <w:lang w:val="en-US" w:eastAsia="zh-CN"/>
                <w14:textFill>
                  <w14:solidFill>
                    <w14:schemeClr w14:val="tx1"/>
                  </w14:solidFill>
                </w14:textFill>
              </w:rPr>
              <w:t>并及时汇总</w:t>
            </w:r>
            <w:r>
              <w:rPr>
                <w:rFonts w:hint="default" w:ascii="Times New Roman" w:hAnsi="Times New Roman" w:eastAsia="仿宋_GB2312" w:cs="Times New Roman"/>
                <w:color w:val="000000" w:themeColor="text1"/>
                <w:sz w:val="32"/>
                <w:szCs w:val="32"/>
                <w14:textFill>
                  <w14:solidFill>
                    <w14:schemeClr w14:val="tx1"/>
                  </w14:solidFill>
                </w14:textFill>
              </w:rPr>
              <w:t>各市</w:t>
            </w:r>
            <w:r>
              <w:rPr>
                <w:rFonts w:hint="eastAsia" w:eastAsia="仿宋_GB2312" w:cs="Times New Roman"/>
                <w:color w:val="000000" w:themeColor="text1"/>
                <w:sz w:val="32"/>
                <w:szCs w:val="32"/>
                <w:lang w:val="en-US" w:eastAsia="zh-CN"/>
                <w14:textFill>
                  <w14:solidFill>
                    <w14:schemeClr w14:val="tx1"/>
                  </w14:solidFill>
                </w14:textFill>
              </w:rPr>
              <w:t>环食药侦</w:t>
            </w:r>
            <w:r>
              <w:rPr>
                <w:rFonts w:hint="default" w:ascii="Times New Roman" w:hAnsi="Times New Roman" w:eastAsia="仿宋_GB2312" w:cs="Times New Roman"/>
                <w:color w:val="000000" w:themeColor="text1"/>
                <w:sz w:val="32"/>
                <w:szCs w:val="32"/>
                <w14:textFill>
                  <w14:solidFill>
                    <w14:schemeClr w14:val="tx1"/>
                  </w14:solidFill>
                </w14:textFill>
              </w:rPr>
              <w:t>部门</w:t>
            </w:r>
            <w:r>
              <w:rPr>
                <w:rFonts w:hint="eastAsia" w:eastAsia="仿宋_GB2312" w:cs="Times New Roman"/>
                <w:color w:val="000000" w:themeColor="text1"/>
                <w:sz w:val="32"/>
                <w:szCs w:val="32"/>
                <w:lang w:val="en-US" w:eastAsia="zh-CN"/>
                <w14:textFill>
                  <w14:solidFill>
                    <w14:schemeClr w14:val="tx1"/>
                  </w14:solidFill>
                </w14:textFill>
              </w:rPr>
              <w:t>的</w:t>
            </w:r>
            <w:r>
              <w:rPr>
                <w:rFonts w:hint="default" w:ascii="Times New Roman" w:hAnsi="Times New Roman" w:eastAsia="仿宋_GB2312" w:cs="Times New Roman"/>
                <w:color w:val="000000" w:themeColor="text1"/>
                <w:sz w:val="32"/>
                <w:szCs w:val="32"/>
                <w14:textFill>
                  <w14:solidFill>
                    <w14:schemeClr w14:val="tx1"/>
                  </w14:solidFill>
                </w14:textFill>
              </w:rPr>
              <w:t>同步调研</w:t>
            </w:r>
            <w:r>
              <w:rPr>
                <w:rFonts w:hint="eastAsia" w:eastAsia="仿宋_GB2312" w:cs="Times New Roman"/>
                <w:color w:val="000000" w:themeColor="text1"/>
                <w:sz w:val="32"/>
                <w:szCs w:val="32"/>
                <w:lang w:val="en-US" w:eastAsia="zh-CN"/>
                <w14:textFill>
                  <w14:solidFill>
                    <w14:schemeClr w14:val="tx1"/>
                  </w14:solidFill>
                </w14:textFill>
              </w:rPr>
              <w:t>情况</w:t>
            </w:r>
            <w:r>
              <w:rPr>
                <w:rFonts w:hint="eastAsia" w:eastAsia="仿宋_GB2312" w:cs="Times New Roman"/>
                <w:color w:val="000000" w:themeColor="text1"/>
                <w:sz w:val="32"/>
                <w:szCs w:val="32"/>
                <w:lang w:eastAsia="zh-CN"/>
                <w14:textFill>
                  <w14:solidFill>
                    <w14:schemeClr w14:val="tx1"/>
                  </w14:solidFill>
                </w14:textFill>
              </w:rPr>
              <w:t>。</w:t>
            </w:r>
            <w:r>
              <w:rPr>
                <w:rFonts w:hint="default" w:ascii="Times New Roman" w:hAnsi="Times New Roman" w:eastAsia="仿宋_GB2312" w:cs="Times New Roman"/>
                <w:color w:val="000000" w:themeColor="text1"/>
                <w:sz w:val="32"/>
                <w:szCs w:val="32"/>
                <w14:textFill>
                  <w14:solidFill>
                    <w14:schemeClr w14:val="tx1"/>
                  </w14:solidFill>
                </w14:textFill>
              </w:rPr>
              <w:t>现将有关情况报告如下：</w:t>
            </w:r>
          </w:p>
          <w:p>
            <w:pPr>
              <w:pStyle w:val="16"/>
              <w:keepNext w:val="0"/>
              <w:keepLines w:val="0"/>
              <w:pageBreakBefore w:val="0"/>
              <w:widowControl w:val="0"/>
              <w:kinsoku/>
              <w:wordWrap/>
              <w:overflowPunct/>
              <w:topLinePunct w:val="0"/>
              <w:autoSpaceDE/>
              <w:autoSpaceDN/>
              <w:bidi w:val="0"/>
              <w:adjustRightInd w:val="0"/>
              <w:snapToGrid/>
              <w:spacing w:line="540" w:lineRule="exact"/>
              <w:ind w:right="0" w:rightChars="0"/>
              <w:textAlignment w:val="auto"/>
              <w:outlineLvl w:val="9"/>
              <w:rPr>
                <w:rFonts w:hint="eastAsia" w:eastAsia="黑体"/>
                <w:color w:val="000000" w:themeColor="text1"/>
                <w:lang w:eastAsia="zh-CN"/>
                <w14:textFill>
                  <w14:solidFill>
                    <w14:schemeClr w14:val="tx1"/>
                  </w14:solidFill>
                </w14:textFill>
              </w:rPr>
            </w:pPr>
            <w:r>
              <w:rPr>
                <w:rFonts w:hint="default" w:ascii="Times New Roman" w:hAnsi="Times New Roman" w:eastAsia="黑体" w:cs="Times New Roman"/>
                <w:b w:val="0"/>
                <w:bCs w:val="0"/>
                <w:snapToGrid w:val="0"/>
                <w:color w:val="000000" w:themeColor="text1"/>
                <w:kern w:val="0"/>
                <w:sz w:val="32"/>
                <w:szCs w:val="32"/>
                <w14:textFill>
                  <w14:solidFill>
                    <w14:schemeClr w14:val="tx1"/>
                  </w14:solidFill>
                </w14:textFill>
              </w:rPr>
              <w:t>一、</w:t>
            </w:r>
            <w:r>
              <w:rPr>
                <w:rFonts w:hint="eastAsia" w:ascii="Times New Roman" w:hAnsi="Times New Roman" w:eastAsia="黑体" w:cs="Times New Roman"/>
                <w:b w:val="0"/>
                <w:bCs w:val="0"/>
                <w:snapToGrid w:val="0"/>
                <w:color w:val="000000" w:themeColor="text1"/>
                <w:kern w:val="0"/>
                <w:sz w:val="32"/>
                <w:szCs w:val="32"/>
                <w:lang w:eastAsia="zh-CN"/>
                <w14:textFill>
                  <w14:solidFill>
                    <w14:schemeClr w14:val="tx1"/>
                  </w14:solidFill>
                </w14:textFill>
              </w:rPr>
              <w:t>本地</w:t>
            </w:r>
            <w:r>
              <w:rPr>
                <w:rFonts w:hint="default" w:ascii="Times New Roman" w:hAnsi="Times New Roman" w:eastAsia="黑体" w:cs="Times New Roman"/>
                <w:b w:val="0"/>
                <w:bCs w:val="0"/>
                <w:snapToGrid w:val="0"/>
                <w:color w:val="000000" w:themeColor="text1"/>
                <w:kern w:val="0"/>
                <w:sz w:val="32"/>
                <w:szCs w:val="32"/>
                <w14:textFill>
                  <w14:solidFill>
                    <w14:schemeClr w14:val="tx1"/>
                  </w14:solidFill>
                </w14:textFill>
              </w:rPr>
              <w:t>基础</w:t>
            </w:r>
            <w:r>
              <w:rPr>
                <w:rFonts w:hint="eastAsia" w:ascii="Times New Roman" w:hAnsi="Times New Roman" w:eastAsia="黑体" w:cs="Times New Roman"/>
                <w:b w:val="0"/>
                <w:bCs w:val="0"/>
                <w:snapToGrid w:val="0"/>
                <w:color w:val="000000" w:themeColor="text1"/>
                <w:kern w:val="0"/>
                <w:sz w:val="32"/>
                <w:szCs w:val="32"/>
                <w:lang w:eastAsia="zh-CN"/>
                <w14:textFill>
                  <w14:solidFill>
                    <w14:schemeClr w14:val="tx1"/>
                  </w14:solidFill>
                </w14:textFill>
              </w:rPr>
              <w:t>情况</w:t>
            </w:r>
          </w:p>
          <w:p>
            <w:pPr>
              <w:pStyle w:val="13"/>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540" w:lineRule="exact"/>
              <w:ind w:left="0" w:right="0" w:rightChars="0" w:firstLine="640" w:firstLineChars="200"/>
              <w:jc w:val="both"/>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壮族自治区行政区域土地面积23.76万平方千米，地形结构点多、线长、面广，有1020公里的陆地边境线和1595公里的大陆海岸线，地处中国地势第二台阶中的云贵高原东南边缘、北部湾沿海、两广丘陵西部，与越南接壤，主要分布有山地、丘陵、台地、平原等类型地貌；下辖设区市14个，总人口为5757万人，其中，汉族人口3504万人、壮族人口1871万人、其他54个民族人口共383万人；广西是中国北部湾重要国际枢纽和中国-东盟合作战略中心，具有沿海沿边的区位优势，是西南出海大通道，自东盟博览会永久落户南宁以来，东盟连续21年成为广西第一大贸易伙伴。</w:t>
            </w:r>
          </w:p>
          <w:p>
            <w:pPr>
              <w:pStyle w:val="13"/>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540" w:lineRule="exact"/>
              <w:ind w:left="0" w:right="0" w:rightChars="0" w:firstLine="640" w:firstLineChars="200"/>
              <w:jc w:val="both"/>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中国</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东盟知识产权领域合作谅解备忘录签署以来，</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东盟国家间的</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知识产权交流与合作日益频繁，</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广西共</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设立</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了</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8个东盟及RCEP国家境外服务中心，</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其中</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在中国</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印尼经贸合作区设立</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了</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境外知识产权维权援助工作站，</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不断</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加强知识产权公共服务，助力企业</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走出去</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和</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引进来</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建立</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了</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中国</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东盟知识产权运营平台，提供专利、商标、版权等知识产权交易服务，与柬埔寨、老挝、马来西亚、缅甸、越南开展知识产权常态化交流，有效加强知识产权保护，促进商标品牌发展，有力服务了双边产业合作。据统计，东盟的主要品牌价值超过2500亿美元</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p>
          <w:p>
            <w:pPr>
              <w:pStyle w:val="13"/>
              <w:keepNext w:val="0"/>
              <w:keepLines w:val="0"/>
              <w:pageBreakBefore w:val="0"/>
              <w:widowControl w:val="0"/>
              <w:suppressLineNumbers w:val="0"/>
              <w:kinsoku/>
              <w:wordWrap/>
              <w:overflowPunct/>
              <w:topLinePunct w:val="0"/>
              <w:autoSpaceDE/>
              <w:autoSpaceDN/>
              <w:bidi w:val="0"/>
              <w:adjustRightInd w:val="0"/>
              <w:snapToGrid/>
              <w:spacing w:before="0" w:beforeAutospacing="0" w:after="0" w:afterAutospacing="0" w:line="540" w:lineRule="exact"/>
              <w:ind w:left="0" w:right="0" w:rightChars="0" w:firstLine="640" w:firstLineChars="200"/>
              <w:jc w:val="both"/>
              <w:textAlignment w:val="auto"/>
              <w:outlineLvl w:val="9"/>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目前，广西的</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产业</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状况、</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特色经济</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以及知名品牌和名优产品如下：</w:t>
            </w:r>
          </w:p>
          <w:p>
            <w:pPr>
              <w:pStyle w:val="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eastAsia" w:ascii="楷体_GB2312" w:hAnsi="楷体_GB2312" w:eastAsia="楷体_GB2312" w:cs="楷体_GB2312"/>
                <w:color w:val="000000" w:themeColor="text1"/>
                <w:sz w:val="32"/>
                <w:szCs w:val="32"/>
                <w:lang w:eastAsia="zh-CN"/>
                <w14:textFill>
                  <w14:solidFill>
                    <w14:schemeClr w14:val="tx1"/>
                  </w14:solidFill>
                </w14:textFill>
              </w:rPr>
            </w:pPr>
            <w:r>
              <w:rPr>
                <w:rFonts w:hint="eastAsia" w:ascii="楷体_GB2312" w:hAnsi="楷体_GB2312" w:eastAsia="楷体_GB2312" w:cs="楷体_GB2312"/>
                <w:color w:val="000000" w:themeColor="text1"/>
                <w:sz w:val="32"/>
                <w:szCs w:val="32"/>
                <w:lang w:eastAsia="zh-CN"/>
                <w14:textFill>
                  <w14:solidFill>
                    <w14:schemeClr w14:val="tx1"/>
                  </w14:solidFill>
                </w14:textFill>
              </w:rPr>
              <w:t>（一）</w:t>
            </w:r>
            <w:r>
              <w:rPr>
                <w:rFonts w:hint="eastAsia" w:ascii="楷体_GB2312" w:hAnsi="楷体_GB2312" w:eastAsia="楷体_GB2312" w:cs="楷体_GB2312"/>
                <w:color w:val="000000" w:themeColor="text1"/>
                <w:sz w:val="32"/>
                <w:szCs w:val="32"/>
                <w14:textFill>
                  <w14:solidFill>
                    <w14:schemeClr w14:val="tx1"/>
                  </w14:solidFill>
                </w14:textFill>
              </w:rPr>
              <w:t>支柱产业</w:t>
            </w:r>
            <w:r>
              <w:rPr>
                <w:rFonts w:hint="eastAsia" w:ascii="楷体_GB2312" w:hAnsi="楷体_GB2312" w:eastAsia="楷体_GB2312" w:cs="楷体_GB2312"/>
                <w:color w:val="000000" w:themeColor="text1"/>
                <w:sz w:val="32"/>
                <w:szCs w:val="32"/>
                <w:lang w:eastAsia="zh-CN"/>
                <w14:textFill>
                  <w14:solidFill>
                    <w14:schemeClr w14:val="tx1"/>
                  </w14:solidFill>
                </w14:textFill>
              </w:rPr>
              <w:t>。</w:t>
            </w:r>
            <w:r>
              <w:rPr>
                <w:rFonts w:hint="eastAsia" w:ascii="Times New Roman" w:hAnsi="Times New Roman" w:eastAsia="仿宋_GB2312" w:cs="Times New Roman"/>
                <w:color w:val="000000" w:themeColor="text1"/>
                <w:sz w:val="32"/>
                <w:szCs w:val="32"/>
                <w:lang w:eastAsia="zh-CN"/>
                <w14:textFill>
                  <w14:solidFill>
                    <w14:schemeClr w14:val="tx1"/>
                  </w14:solidFill>
                </w14:textFill>
              </w:rPr>
              <w:t>广西持续加强产业创新，构建现代化产业体系，扩大有效需求，促进消费和投资良性循环。通过实施新一轮工业振兴三年行动，每年统筹400亿元资金支持工业发展，聚焦优势产业，打造具有广西特色的支柱产业，集中体现在：汽车、食品、石化、冶金</w:t>
            </w:r>
            <w:r>
              <w:rPr>
                <w:rFonts w:hint="default" w:ascii="Times New Roman" w:hAnsi="Times New Roman" w:eastAsia="仿宋_GB2312" w:cs="Times New Roman"/>
                <w:color w:val="000000" w:themeColor="text1"/>
                <w:sz w:val="32"/>
                <w:szCs w:val="32"/>
                <w14:textFill>
                  <w14:solidFill>
                    <w14:schemeClr w14:val="tx1"/>
                  </w14:solidFill>
                </w14:textFill>
              </w:rPr>
              <w:t>、</w:t>
            </w:r>
            <w:r>
              <w:rPr>
                <w:rFonts w:hint="eastAsia" w:ascii="Times New Roman" w:hAnsi="Times New Roman" w:eastAsia="仿宋_GB2312" w:cs="Times New Roman"/>
                <w:color w:val="000000" w:themeColor="text1"/>
                <w:sz w:val="32"/>
                <w:szCs w:val="32"/>
                <w:lang w:eastAsia="zh-CN"/>
                <w14:textFill>
                  <w14:solidFill>
                    <w14:schemeClr w14:val="tx1"/>
                  </w14:solidFill>
                </w14:textFill>
              </w:rPr>
              <w:t>有色金属、机械制造、特色农业、烟草、林业与木材加工、绿色建材、新材料、电子信息、旅游等产业。</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楷体_GB2312" w:hAnsi="楷体_GB2312" w:eastAsia="楷体_GB2312" w:cs="楷体_GB2312"/>
                <w:color w:val="000000" w:themeColor="text1"/>
                <w:sz w:val="32"/>
                <w:szCs w:val="32"/>
                <w:lang w:eastAsia="zh-CN"/>
                <w14:textFill>
                  <w14:solidFill>
                    <w14:schemeClr w14:val="tx1"/>
                  </w14:solidFill>
                </w14:textFill>
              </w:rPr>
              <w:t>（二）</w:t>
            </w:r>
            <w:r>
              <w:rPr>
                <w:rFonts w:hint="eastAsia" w:ascii="楷体_GB2312" w:hAnsi="楷体_GB2312" w:eastAsia="楷体_GB2312" w:cs="楷体_GB2312"/>
                <w:color w:val="000000" w:themeColor="text1"/>
                <w:sz w:val="32"/>
                <w:szCs w:val="32"/>
                <w14:textFill>
                  <w14:solidFill>
                    <w14:schemeClr w14:val="tx1"/>
                  </w14:solidFill>
                </w14:textFill>
              </w:rPr>
              <w:t>主导产业</w:t>
            </w:r>
            <w:r>
              <w:rPr>
                <w:rFonts w:hint="eastAsia" w:ascii="楷体_GB2312" w:hAnsi="楷体_GB2312" w:eastAsia="楷体_GB2312" w:cs="楷体_GB2312"/>
                <w:color w:val="000000" w:themeColor="text1"/>
                <w:sz w:val="32"/>
                <w:szCs w:val="32"/>
                <w:lang w:eastAsia="zh-CN"/>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主要有冶金</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有色金属、特色农业、机械制造、电子信息、林业与木材加工、特色农业、旅游等产业。在发展主导产业方面</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深入实施创新驱动发展战略，聚焦新一代信息技术、绿色环保、新能源汽车等产业领域，建设高价值专利培育示范中心21个，2022年新增高价值发明专利1386件。</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2024年，广西已</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实施产业振兴专利导航示范项目21项</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设立</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了</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73个商标品牌指导站，开展</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千企千标</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和</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百城百品</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品牌创建行动</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六堡茶、百色芒果等12个广西地理标志纳入中欧地理标志协定产品互认互保名录，横县茉莉花茶等6个地理标志参加中俄互认互保协商。截至202</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4</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年</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底</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，有效发明专利39129件，同比增长4.04%</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，其中</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企业有效发明专利23947件，同比增长11.32%；有效注册商标</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564666个，</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同比增长</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10.49</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eastAsia" w:eastAsia="仿宋_GB2312" w:cs="Times New Roman"/>
                <w:color w:val="000000" w:themeColor="text1"/>
                <w:sz w:val="32"/>
                <w:szCs w:val="32"/>
                <w:lang w:eastAsia="zh-CN"/>
                <w14:textFill>
                  <w14:solidFill>
                    <w14:schemeClr w14:val="tx1"/>
                  </w14:solidFill>
                </w14:textFill>
              </w:rPr>
            </w:pPr>
            <w:r>
              <w:rPr>
                <w:rFonts w:hint="eastAsia" w:ascii="楷体_GB2312" w:hAnsi="楷体_GB2312" w:eastAsia="楷体_GB2312" w:cs="楷体_GB2312"/>
                <w:color w:val="000000" w:themeColor="text1"/>
                <w:sz w:val="32"/>
                <w:szCs w:val="32"/>
                <w:lang w:eastAsia="zh-CN"/>
                <w14:textFill>
                  <w14:solidFill>
                    <w14:schemeClr w14:val="tx1"/>
                  </w14:solidFill>
                </w14:textFill>
              </w:rPr>
              <w:t>（三）</w:t>
            </w:r>
            <w:r>
              <w:rPr>
                <w:rFonts w:hint="eastAsia" w:ascii="楷体_GB2312" w:hAnsi="楷体_GB2312" w:eastAsia="楷体_GB2312" w:cs="楷体_GB2312"/>
                <w:color w:val="000000" w:themeColor="text1"/>
                <w:sz w:val="32"/>
                <w:szCs w:val="32"/>
                <w14:textFill>
                  <w14:solidFill>
                    <w14:schemeClr w14:val="tx1"/>
                  </w14:solidFill>
                </w14:textFill>
              </w:rPr>
              <w:t>特色经济</w:t>
            </w:r>
            <w:r>
              <w:rPr>
                <w:rFonts w:hint="eastAsia" w:ascii="楷体_GB2312" w:hAnsi="楷体_GB2312" w:eastAsia="楷体_GB2312" w:cs="楷体_GB2312"/>
                <w:color w:val="000000" w:themeColor="text1"/>
                <w:sz w:val="32"/>
                <w:szCs w:val="32"/>
                <w:lang w:eastAsia="zh-CN"/>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广西特色经济体现在农业、工业、高新技术产业、特色优势产业领域，</w:t>
            </w:r>
            <w:r>
              <w:rPr>
                <w:rFonts w:hint="eastAsia" w:eastAsia="仿宋_GB2312" w:cs="Times New Roman"/>
                <w:b/>
                <w:bCs/>
                <w:color w:val="000000" w:themeColor="text1"/>
                <w:sz w:val="32"/>
                <w:szCs w:val="32"/>
                <w:lang w:eastAsia="zh-CN"/>
                <w14:textFill>
                  <w14:solidFill>
                    <w14:schemeClr w14:val="tx1"/>
                  </w14:solidFill>
                </w14:textFill>
              </w:rPr>
              <w:t>农业</w:t>
            </w:r>
            <w:r>
              <w:rPr>
                <w:rFonts w:hint="eastAsia" w:cs="Times New Roman"/>
                <w:b/>
                <w:bCs/>
                <w:color w:val="000000" w:themeColor="text1"/>
                <w:sz w:val="32"/>
                <w:szCs w:val="32"/>
                <w:lang w:eastAsia="zh-CN"/>
                <w14:textFill>
                  <w14:solidFill>
                    <w14:schemeClr w14:val="tx1"/>
                  </w14:solidFill>
                </w14:textFill>
              </w:rPr>
              <w:t>方面</w:t>
            </w:r>
            <w:r>
              <w:rPr>
                <w:rFonts w:hint="eastAsia" w:eastAsia="仿宋_GB2312" w:cs="Times New Roman"/>
                <w:b/>
                <w:bCs/>
                <w:color w:val="000000" w:themeColor="text1"/>
                <w:sz w:val="32"/>
                <w:szCs w:val="32"/>
                <w:lang w:eastAsia="zh-CN"/>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主要盛产水稻、甘蔗、水果等农作物。其中，甘蔗产量居全国首位，水果产量连续六年位居全国第一，形成了粮食、蔗糖、水果、蔬菜、渔业、家畜等</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6</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个千亿元产业集群。</w:t>
            </w:r>
            <w:r>
              <w:rPr>
                <w:rFonts w:hint="eastAsia" w:eastAsia="仿宋_GB2312" w:cs="Times New Roman"/>
                <w:b/>
                <w:bCs/>
                <w:color w:val="000000" w:themeColor="text1"/>
                <w:sz w:val="32"/>
                <w:szCs w:val="32"/>
                <w:lang w:eastAsia="zh-CN"/>
                <w14:textFill>
                  <w14:solidFill>
                    <w14:schemeClr w14:val="tx1"/>
                  </w14:solidFill>
                </w14:textFill>
              </w:rPr>
              <w:t>工业</w:t>
            </w:r>
            <w:r>
              <w:rPr>
                <w:rFonts w:hint="eastAsia" w:cs="Times New Roman"/>
                <w:b/>
                <w:bCs/>
                <w:color w:val="000000" w:themeColor="text1"/>
                <w:sz w:val="32"/>
                <w:szCs w:val="32"/>
                <w:lang w:eastAsia="zh-CN"/>
                <w14:textFill>
                  <w14:solidFill>
                    <w14:schemeClr w14:val="tx1"/>
                  </w14:solidFill>
                </w14:textFill>
              </w:rPr>
              <w:t>方面</w:t>
            </w:r>
            <w:r>
              <w:rPr>
                <w:rFonts w:hint="eastAsia" w:eastAsia="仿宋_GB2312" w:cs="Times New Roman"/>
                <w:b/>
                <w:bCs/>
                <w:color w:val="000000" w:themeColor="text1"/>
                <w:sz w:val="32"/>
                <w:szCs w:val="32"/>
                <w:lang w:eastAsia="zh-CN"/>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工业发展迅速，形成了钢铁、有色、食品三大千亿级产业，以及石化、造纸与木材加工、电力三大两千亿级产业。2024年，规模以上工业增加值增长7.9%，电气机械和器材制造业、造纸和纸制品业、农副食品加工业等增长显著。</w:t>
            </w:r>
            <w:r>
              <w:rPr>
                <w:rFonts w:hint="eastAsia" w:ascii="Times New Roman" w:hAnsi="Times New Roman" w:eastAsia="仿宋_GB2312" w:cs="Times New Roman"/>
                <w:b/>
                <w:bCs/>
                <w:color w:val="000000" w:themeColor="text1"/>
                <w:sz w:val="32"/>
                <w:szCs w:val="32"/>
                <w:lang w:eastAsia="zh-CN"/>
                <w14:textFill>
                  <w14:solidFill>
                    <w14:schemeClr w14:val="tx1"/>
                  </w14:solidFill>
                </w14:textFill>
              </w:rPr>
              <w:t>高新技术产业</w:t>
            </w:r>
            <w:r>
              <w:rPr>
                <w:rFonts w:hint="eastAsia" w:ascii="Times New Roman" w:cs="Times New Roman"/>
                <w:b/>
                <w:bCs/>
                <w:color w:val="000000" w:themeColor="text1"/>
                <w:sz w:val="32"/>
                <w:szCs w:val="32"/>
                <w:lang w:eastAsia="zh-CN"/>
                <w14:textFill>
                  <w14:solidFill>
                    <w14:schemeClr w14:val="tx1"/>
                  </w14:solidFill>
                </w14:textFill>
              </w:rPr>
              <w:t>方面</w:t>
            </w:r>
            <w:r>
              <w:rPr>
                <w:rFonts w:hint="eastAsia" w:ascii="Times New Roman" w:hAnsi="Times New Roman" w:eastAsia="仿宋_GB2312" w:cs="Times New Roman"/>
                <w:b/>
                <w:bCs/>
                <w:color w:val="000000" w:themeColor="text1"/>
                <w:sz w:val="32"/>
                <w:szCs w:val="32"/>
                <w:lang w:eastAsia="zh-CN"/>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广西积极发展新材料、新能源电池、新能源汽车等百亿级新产业。2024年，高技术服务业企业营业收入增长19.3%。</w:t>
            </w:r>
            <w:r>
              <w:rPr>
                <w:rFonts w:hint="eastAsia" w:ascii="Times New Roman" w:hAnsi="Times New Roman" w:eastAsia="仿宋_GB2312" w:cs="Times New Roman"/>
                <w:b/>
                <w:bCs/>
                <w:color w:val="000000" w:themeColor="text1"/>
                <w:sz w:val="32"/>
                <w:szCs w:val="32"/>
                <w:lang w:eastAsia="zh-CN"/>
                <w14:textFill>
                  <w14:solidFill>
                    <w14:schemeClr w14:val="tx1"/>
                  </w14:solidFill>
                </w14:textFill>
              </w:rPr>
              <w:t>服务业</w:t>
            </w:r>
            <w:r>
              <w:rPr>
                <w:rFonts w:hint="eastAsia" w:ascii="Times New Roman" w:cs="Times New Roman"/>
                <w:b/>
                <w:bCs/>
                <w:color w:val="000000" w:themeColor="text1"/>
                <w:sz w:val="32"/>
                <w:szCs w:val="32"/>
                <w:lang w:eastAsia="zh-CN"/>
                <w14:textFill>
                  <w14:solidFill>
                    <w14:schemeClr w14:val="tx1"/>
                  </w14:solidFill>
                </w14:textFill>
              </w:rPr>
              <w:t>方面</w:t>
            </w:r>
            <w:r>
              <w:rPr>
                <w:rFonts w:hint="eastAsia" w:ascii="Times New Roman" w:hAnsi="Times New Roman" w:eastAsia="仿宋_GB2312" w:cs="Times New Roman"/>
                <w:b/>
                <w:bCs/>
                <w:color w:val="000000" w:themeColor="text1"/>
                <w:sz w:val="32"/>
                <w:szCs w:val="32"/>
                <w:lang w:eastAsia="zh-CN"/>
                <w14:textFill>
                  <w14:solidFill>
                    <w14:schemeClr w14:val="tx1"/>
                  </w14:solidFill>
                </w14:textFill>
              </w:rPr>
              <w:t>：</w:t>
            </w:r>
            <w:r>
              <w:rPr>
                <w:rFonts w:hint="eastAsia" w:ascii="Times New Roman" w:hAnsi="Times New Roman" w:eastAsia="仿宋_GB2312" w:cs="Times New Roman"/>
                <w:color w:val="000000" w:themeColor="text1"/>
                <w:sz w:val="32"/>
                <w:szCs w:val="32"/>
                <w:lang w:eastAsia="zh-CN"/>
                <w14:textFill>
                  <w14:solidFill>
                    <w14:schemeClr w14:val="tx1"/>
                  </w14:solidFill>
                </w14:textFill>
              </w:rPr>
              <w:t>服务业恢复向好，现代服务业发展迅速。2024年，社会消费品零售总额增长1.6%，乡村市场销售增长快于城镇。</w:t>
            </w:r>
            <w:r>
              <w:rPr>
                <w:rFonts w:hint="eastAsia" w:ascii="Times New Roman" w:hAnsi="Times New Roman" w:eastAsia="仿宋_GB2312" w:cs="Times New Roman"/>
                <w:b/>
                <w:bCs/>
                <w:color w:val="000000" w:themeColor="text1"/>
                <w:sz w:val="32"/>
                <w:szCs w:val="32"/>
                <w:lang w:eastAsia="zh-CN"/>
                <w14:textFill>
                  <w14:solidFill>
                    <w14:schemeClr w14:val="tx1"/>
                  </w14:solidFill>
                </w14:textFill>
              </w:rPr>
              <w:t>特色优势产业</w:t>
            </w:r>
            <w:r>
              <w:rPr>
                <w:rFonts w:hint="eastAsia" w:ascii="Times New Roman" w:cs="Times New Roman"/>
                <w:b/>
                <w:bCs/>
                <w:color w:val="000000" w:themeColor="text1"/>
                <w:sz w:val="32"/>
                <w:szCs w:val="32"/>
                <w:lang w:eastAsia="zh-CN"/>
                <w14:textFill>
                  <w14:solidFill>
                    <w14:schemeClr w14:val="tx1"/>
                  </w14:solidFill>
                </w14:textFill>
              </w:rPr>
              <w:t>方面</w:t>
            </w:r>
            <w:r>
              <w:rPr>
                <w:rFonts w:hint="eastAsia" w:ascii="Times New Roman" w:hAnsi="Times New Roman" w:eastAsia="仿宋_GB2312" w:cs="Times New Roman"/>
                <w:b/>
                <w:bCs/>
                <w:color w:val="000000" w:themeColor="text1"/>
                <w:sz w:val="32"/>
                <w:szCs w:val="32"/>
                <w:lang w:eastAsia="zh-CN"/>
                <w14:textFill>
                  <w14:solidFill>
                    <w14:schemeClr w14:val="tx1"/>
                  </w14:solidFill>
                </w14:textFill>
              </w:rPr>
              <w:t>：</w:t>
            </w:r>
            <w:r>
              <w:rPr>
                <w:rFonts w:hint="eastAsia" w:ascii="Times New Roman" w:hAnsi="Times New Roman" w:eastAsia="仿宋_GB2312" w:cs="Times New Roman"/>
                <w:color w:val="000000" w:themeColor="text1"/>
                <w:sz w:val="32"/>
                <w:szCs w:val="32"/>
                <w:lang w:eastAsia="zh-CN"/>
                <w14:textFill>
                  <w14:solidFill>
                    <w14:schemeClr w14:val="tx1"/>
                  </w14:solidFill>
                </w14:textFill>
              </w:rPr>
              <w:t>广西着力发展冶金、汽车等10个千亿级工业产业和食糖、水果等6个千亿级特色农业产业。</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楷体_GB2312" w:hAnsi="楷体_GB2312" w:eastAsia="楷体_GB2312" w:cs="楷体_GB2312"/>
                <w:color w:val="000000" w:themeColor="text1"/>
                <w:sz w:val="32"/>
                <w:szCs w:val="32"/>
                <w:lang w:eastAsia="zh-CN"/>
                <w14:textFill>
                  <w14:solidFill>
                    <w14:schemeClr w14:val="tx1"/>
                  </w14:solidFill>
                </w14:textFill>
              </w:rPr>
              <w:t>（四）知名品牌。</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广西</w:t>
            </w:r>
            <w:r>
              <w:rPr>
                <w:rFonts w:hint="eastAsia" w:ascii="Times New Roman" w:cs="Times New Roman"/>
                <w:color w:val="000000" w:themeColor="text1"/>
                <w:sz w:val="32"/>
                <w:szCs w:val="32"/>
                <w:lang w:val="en-US" w:eastAsia="zh-CN"/>
                <w14:textFill>
                  <w14:solidFill>
                    <w14:schemeClr w14:val="tx1"/>
                  </w14:solidFill>
                </w14:textFill>
              </w:rPr>
              <w:t>知名</w:t>
            </w:r>
            <w:r>
              <w:rPr>
                <w:rFonts w:hint="eastAsia" w:ascii="Times New Roman" w:hAnsi="Times New Roman" w:eastAsia="仿宋_GB2312" w:cs="Times New Roman"/>
                <w:b/>
                <w:bCs/>
                <w:color w:val="000000" w:themeColor="text1"/>
                <w:sz w:val="32"/>
                <w:szCs w:val="32"/>
                <w:lang w:val="en-US" w:eastAsia="zh-CN"/>
                <w14:textFill>
                  <w14:solidFill>
                    <w14:schemeClr w14:val="tx1"/>
                  </w14:solidFill>
                </w14:textFill>
              </w:rPr>
              <w:t>品牌</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集中体现在多个领域，包括消费品、工业产品、农业品牌、老字号等，截至2024年底，地理标志证明商标有574个</w:t>
            </w:r>
            <w:r>
              <w:rPr>
                <w:rFonts w:hint="eastAsia" w:ascii="Times New Roman"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2023年12月，商务部公示了新一批中华老字号拟认定名单，广西有10个品牌成功入选，包括桂林三金药业、广西金嗓子、广西梧州冰泉、广西丹泉酒业、桂林黄昌典文化用品、北京王致和（桂林腐乳）食品、广西梧州三鹤药业、柳州饭店、广西南宁饭店和南宁明园饭店。2024年2月，工业和信息化部公示了首批“中国消费名品”名单，广西有5个品牌入选，包括企业品牌“丹泉”（广西丹泉酒业有限公司）和“南方丝巢”（广西嘉联丝绸股份有限公司），以及区域品牌“柳州螺蛳粉”、“钦州坭兴陶”和“宜州茧丝绸”。截至2024年底，广西共有19家“中华老字号”企业，主要集中在酒、饮料和精制茶及食品、医药等制造业品牌企业，以及住宿业和餐饮业品牌企业。具体品牌包括，酒类有：桂林三花酒；食品类有：双钱牌龟苓膏、冰泉豆浆晶等；医药类有：玉林制药、华润天和药业；其它具有代表性的知名品牌还有：“燕京啤酒（桂林漓泉）”、“穿山（桂林国际电线电缆集团线下品牌）”等；2025年2月28日，工信部公示了入选“中国消费名品”的广西品牌，涵盖食品、轻工、电子技术、医药四大行业，具体品牌包括，食品类有：桂林三花酒、广西丹泉酒等；轻工类有：钦州坭兴陶；电子技术类有：广西天山电子股份有限公司的主要产品；医药类有：华润天和的“骨通贴膏”、玉林制药产品等。</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楷体_GB2312" w:hAnsi="楷体_GB2312" w:eastAsia="楷体_GB2312" w:cs="楷体_GB2312"/>
                <w:color w:val="000000" w:themeColor="text1"/>
                <w:kern w:val="2"/>
                <w:sz w:val="32"/>
                <w:szCs w:val="32"/>
                <w:highlight w:val="none"/>
                <w:lang w:val="en-US" w:eastAsia="zh-CN" w:bidi="ar-SA"/>
                <w14:textFill>
                  <w14:solidFill>
                    <w14:schemeClr w14:val="tx1"/>
                  </w14:solidFill>
                </w14:textFill>
              </w:rPr>
              <w:t>（五）名优产品。</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广西名优产品集中体现在特色农业、特色食品、酒、生活用品、机械制造、新能源与电子信息等领域，截至2024年底，地理标志保护产品有566个，其中，具有代表性的名优农产品有水果、茶叶、农作物等</w:t>
            </w:r>
            <w:r>
              <w:rPr>
                <w:rFonts w:hint="eastAsia" w:ascii="Times New Roman"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是中国亚热带水果的主要产区之一，名优水果有‌百色芒果、灵山荔枝、杨桃、沙田柚、火龙果、百香果、荔枝、桂圆、菠萝蜜、香蕉、柑橘等；名优茶叶有：茉莉花茶、六堡茶、毛尖等；农作物有‌糖料蔗、甘蔗、八角、‌桑蚕、马蹄、木薯、罗汉果、桄榔粉等，广西是全国最大的糖料蔗种植基地和食糖主产区，糖料蔗种植面积和食糖产量连续33个榨季位居全国第一。具有代表性的食品有：螺蛳粉、豆腐乳、辣椒酱、牛奶、豆浆、凉粉、桂林米粉、龟苓膏等。具有代表性的机械产品有：柴油机、橡胶机械、工程机械等。具有代表性的新能源与电子信息产品有：锂电池、打印机再生墨盒等。具有代表性的酒有：丹泉白酒、三花酒、啤酒等。具有代表性的名优生活用品有：牙膏、坭兴陶、壮锦等。</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default" w:ascii="Times New Roman" w:hAnsi="Times New Roman" w:eastAsia="黑体" w:cs="Times New Roman"/>
                <w:b w:val="0"/>
                <w:bCs w:val="0"/>
                <w:color w:val="000000" w:themeColor="text1"/>
                <w:sz w:val="32"/>
                <w:szCs w:val="32"/>
                <w14:textFill>
                  <w14:solidFill>
                    <w14:schemeClr w14:val="tx1"/>
                  </w14:solidFill>
                </w14:textFill>
              </w:rPr>
            </w:pPr>
            <w:r>
              <w:rPr>
                <w:rFonts w:hint="default" w:ascii="Times New Roman" w:hAnsi="Times New Roman" w:eastAsia="黑体" w:cs="Times New Roman"/>
                <w:b w:val="0"/>
                <w:bCs w:val="0"/>
                <w:color w:val="000000" w:themeColor="text1"/>
                <w:sz w:val="32"/>
                <w:szCs w:val="32"/>
                <w14:textFill>
                  <w14:solidFill>
                    <w14:schemeClr w14:val="tx1"/>
                  </w14:solidFill>
                </w14:textFill>
              </w:rPr>
              <w:t>二、犯罪形势特点</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楷体_GB2312" w:hAnsi="楷体_GB2312" w:eastAsia="楷体_GB2312" w:cs="楷体_GB2312"/>
                <w:snapToGrid w:val="0"/>
                <w:color w:val="000000" w:themeColor="text1"/>
                <w:kern w:val="0"/>
                <w:sz w:val="32"/>
                <w:szCs w:val="32"/>
                <w:lang w:eastAsia="zh-CN"/>
                <w14:textFill>
                  <w14:solidFill>
                    <w14:schemeClr w14:val="tx1"/>
                  </w14:solidFill>
                </w14:textFill>
              </w:rPr>
              <w:t>（一）犯罪总体态势。</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2020</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年至2024年，广西侵权假冒犯罪高发，五年的发案率同比分别上升20.8%、34.4%、7.1%、8.8%、8.1%，呈递增趋势。2020年来，全区公安机关共立案侦办侵权假冒犯罪案件1369起、破案1001起，抓获犯罪嫌疑人4180人，主要集中在生产销售伪劣产品犯罪、涉假冒注册商标及销售假冒注册商标商品的犯罪，生产销售伪劣产品案件立案数占总数的25%，涉商标类的假冒注册商标及销售假冒注册商标的商品案件立案数占总数的16%，</w:t>
            </w:r>
            <w:r>
              <w:rPr>
                <w:rFonts w:hint="eastAsia" w:ascii="Times New Roman" w:cs="Times New Roman"/>
                <w:b/>
                <w:bCs/>
                <w:color w:val="000000" w:themeColor="text1"/>
                <w:sz w:val="32"/>
                <w:szCs w:val="32"/>
                <w:lang w:val="en-US" w:eastAsia="zh-CN"/>
                <w14:textFill>
                  <w14:solidFill>
                    <w14:schemeClr w14:val="tx1"/>
                  </w14:solidFill>
                </w14:textFill>
              </w:rPr>
              <w:t>从</w:t>
            </w:r>
            <w:r>
              <w:rPr>
                <w:rFonts w:hint="eastAsia" w:eastAsia="仿宋_GB2312"/>
                <w:b/>
                <w:bCs/>
                <w:snapToGrid w:val="0"/>
                <w:color w:val="000000" w:themeColor="text1"/>
                <w:kern w:val="0"/>
                <w:sz w:val="32"/>
                <w:szCs w:val="32"/>
                <w:lang w:eastAsia="zh-CN"/>
                <w14:textFill>
                  <w14:solidFill>
                    <w14:schemeClr w14:val="tx1"/>
                  </w14:solidFill>
                </w14:textFill>
              </w:rPr>
              <w:t>变化规律</w:t>
            </w:r>
            <w:r>
              <w:rPr>
                <w:rFonts w:hint="eastAsia"/>
                <w:b/>
                <w:bCs/>
                <w:snapToGrid w:val="0"/>
                <w:color w:val="000000" w:themeColor="text1"/>
                <w:kern w:val="0"/>
                <w:sz w:val="32"/>
                <w:szCs w:val="32"/>
                <w:lang w:eastAsia="zh-CN"/>
                <w14:textFill>
                  <w14:solidFill>
                    <w14:schemeClr w14:val="tx1"/>
                  </w14:solidFill>
                </w14:textFill>
              </w:rPr>
              <w:t>看，</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生产销售伪劣产品案件的立案数五年的立案率同比分别上升9.3%、15.1%、6.1%、7.5%、10.1%，呈递增趋势；涉商标类的假冒注册商标及销售假冒注册商标的商品案件立案数同比分别上升5.5%、8.6%、6.5%、7.6%、10.3%，呈递增趋势。</w:t>
            </w:r>
            <w:r>
              <w:rPr>
                <w:rFonts w:hint="eastAsia" w:ascii="Times New Roman" w:cs="Times New Roman"/>
                <w:b/>
                <w:bCs/>
                <w:color w:val="000000" w:themeColor="text1"/>
                <w:sz w:val="32"/>
                <w:szCs w:val="32"/>
                <w:lang w:val="en-US" w:eastAsia="zh-CN"/>
                <w14:textFill>
                  <w14:solidFill>
                    <w14:schemeClr w14:val="tx1"/>
                  </w14:solidFill>
                </w14:textFill>
              </w:rPr>
              <w:t>从</w:t>
            </w:r>
            <w:r>
              <w:rPr>
                <w:rFonts w:hint="eastAsia" w:ascii="Times New Roman" w:hAnsi="Times New Roman" w:eastAsia="仿宋_GB2312" w:cs="Times New Roman"/>
                <w:b/>
                <w:bCs/>
                <w:color w:val="000000" w:themeColor="text1"/>
                <w:sz w:val="32"/>
                <w:szCs w:val="32"/>
                <w:lang w:val="en-US" w:eastAsia="zh-CN"/>
                <w14:textFill>
                  <w14:solidFill>
                    <w14:schemeClr w14:val="tx1"/>
                  </w14:solidFill>
                </w14:textFill>
              </w:rPr>
              <w:t>高发地域</w:t>
            </w:r>
            <w:r>
              <w:rPr>
                <w:rFonts w:hint="eastAsia" w:ascii="Times New Roman" w:cs="Times New Roman"/>
                <w:b/>
                <w:bCs/>
                <w:color w:val="000000" w:themeColor="text1"/>
                <w:sz w:val="32"/>
                <w:szCs w:val="32"/>
                <w:lang w:val="en-US" w:eastAsia="zh-CN"/>
                <w14:textFill>
                  <w14:solidFill>
                    <w14:schemeClr w14:val="tx1"/>
                  </w14:solidFill>
                </w14:textFill>
              </w:rPr>
              <w:t>看，</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南宁、柳州、桂林、北海、钦州、贵港、玉林等市案件立案数超过全区70%，南宁市发案数超过全区20%。</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eastAsia" w:ascii="楷体_GB2312" w:hAnsi="楷体_GB2312" w:eastAsia="楷体_GB2312" w:cs="楷体_GB2312"/>
                <w:snapToGrid w:val="0"/>
                <w:color w:val="000000" w:themeColor="text1"/>
                <w:kern w:val="0"/>
                <w:sz w:val="32"/>
                <w:szCs w:val="32"/>
                <w:lang w:eastAsia="zh-CN"/>
                <w14:textFill>
                  <w14:solidFill>
                    <w14:schemeClr w14:val="tx1"/>
                  </w14:solidFill>
                </w14:textFill>
              </w:rPr>
            </w:pPr>
            <w:r>
              <w:rPr>
                <w:rFonts w:hint="eastAsia" w:ascii="楷体_GB2312" w:hAnsi="楷体_GB2312" w:eastAsia="楷体_GB2312" w:cs="楷体_GB2312"/>
                <w:snapToGrid w:val="0"/>
                <w:color w:val="000000" w:themeColor="text1"/>
                <w:kern w:val="0"/>
                <w:sz w:val="32"/>
                <w:szCs w:val="32"/>
                <w:lang w:eastAsia="zh-CN"/>
                <w14:textFill>
                  <w14:solidFill>
                    <w14:schemeClr w14:val="tx1"/>
                  </w14:solidFill>
                </w14:textFill>
              </w:rPr>
              <w:t>（二）犯罪行为特征。</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主要从案件发案特点</w:t>
            </w:r>
            <w:r>
              <w:rPr>
                <w:rFonts w:hint="eastAsia" w:hAnsi="仿宋_GB2312" w:cs="仿宋_GB2312"/>
                <w:b w:val="0"/>
                <w:bCs w:val="0"/>
                <w:snapToGrid w:val="0"/>
                <w:color w:val="000000" w:themeColor="text1"/>
                <w:kern w:val="0"/>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犯罪主要类型</w:t>
            </w:r>
            <w:r>
              <w:rPr>
                <w:rFonts w:hint="eastAsia" w:hAnsi="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犯罪伎俩和手法特点</w:t>
            </w:r>
            <w:r>
              <w:rPr>
                <w:rFonts w:hint="eastAsia" w:hAnsi="仿宋_GB2312" w:cs="仿宋_GB2312"/>
                <w:b w:val="0"/>
                <w:bCs w:val="0"/>
                <w:color w:val="000000" w:themeColor="text1"/>
                <w:sz w:val="32"/>
                <w:szCs w:val="32"/>
                <w:lang w:eastAsia="zh-CN"/>
                <w14:textFill>
                  <w14:solidFill>
                    <w14:schemeClr w14:val="tx1"/>
                  </w14:solidFill>
                </w14:textFill>
              </w:rPr>
              <w:t>、</w:t>
            </w:r>
            <w:r>
              <w:rPr>
                <w:rFonts w:hint="eastAsia" w:hAnsi="仿宋_GB2312" w:cs="仿宋_GB2312"/>
                <w:b w:val="0"/>
                <w:bCs w:val="0"/>
                <w:color w:val="000000" w:themeColor="text1"/>
                <w:sz w:val="32"/>
                <w:szCs w:val="32"/>
                <w:lang w:val="en-US" w:eastAsia="zh-CN"/>
                <w14:textFill>
                  <w14:solidFill>
                    <w14:schemeClr w14:val="tx1"/>
                  </w14:solidFill>
                </w14:textFill>
              </w:rPr>
              <w:t>知识产权犯罪的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专业技术</w:t>
            </w:r>
            <w:r>
              <w:rPr>
                <w:rFonts w:hint="eastAsia" w:hAnsi="仿宋_GB2312" w:cs="仿宋_GB2312"/>
                <w:b w:val="0"/>
                <w:bCs w:val="0"/>
                <w:color w:val="000000" w:themeColor="text1"/>
                <w:sz w:val="32"/>
                <w:szCs w:val="32"/>
                <w:lang w:val="en-US" w:eastAsia="zh-CN"/>
                <w14:textFill>
                  <w14:solidFill>
                    <w14:schemeClr w14:val="tx1"/>
                  </w14:solidFill>
                </w14:textFill>
              </w:rPr>
              <w:t>等四个方面体现。</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3" w:firstLineChars="200"/>
              <w:textAlignment w:val="auto"/>
              <w:outlineLvl w:val="9"/>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default" w:ascii="Times New Roman" w:hAnsi="Times New Roman" w:cs="Times New Roman"/>
                <w:b/>
                <w:bCs/>
                <w:snapToGrid w:val="0"/>
                <w:color w:val="000000" w:themeColor="text1"/>
                <w:kern w:val="0"/>
                <w:sz w:val="32"/>
                <w:szCs w:val="32"/>
                <w:lang w:val="en-US" w:eastAsia="zh-CN"/>
                <w14:textFill>
                  <w14:solidFill>
                    <w14:schemeClr w14:val="tx1"/>
                  </w14:solidFill>
                </w14:textFill>
              </w:rPr>
              <w:t>1.</w:t>
            </w:r>
            <w:r>
              <w:rPr>
                <w:rFonts w:hint="eastAsia" w:ascii="仿宋_GB2312" w:hAnsi="仿宋_GB2312" w:eastAsia="仿宋_GB2312" w:cs="仿宋_GB2312"/>
                <w:b/>
                <w:bCs/>
                <w:snapToGrid w:val="0"/>
                <w:color w:val="000000" w:themeColor="text1"/>
                <w:kern w:val="0"/>
                <w:sz w:val="32"/>
                <w:szCs w:val="32"/>
                <w:lang w:eastAsia="zh-CN"/>
                <w14:textFill>
                  <w14:solidFill>
                    <w14:schemeClr w14:val="tx1"/>
                  </w14:solidFill>
                </w14:textFill>
              </w:rPr>
              <w:t>从案件发案特点看，</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一是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境内外、区内外交织和网上网下叠加、典型案件涉案金额高，一些案件，如：假冒知名品牌的服装鞋帽案的涉案货值往往具有高达数千万元甚至过亿元等特征</w:t>
            </w:r>
            <w:r>
              <w:rPr>
                <w:rFonts w:hint="eastAsia" w:hAnsi="仿宋_GB2312" w:cs="仿宋_GB2312"/>
                <w:color w:val="000000" w:themeColor="text1"/>
                <w:kern w:val="0"/>
                <w:sz w:val="32"/>
                <w:szCs w:val="32"/>
                <w:shd w:val="clear" w:color="auto" w:fill="FFFFFF"/>
                <w:lang w:eastAsia="zh-CN"/>
                <w14:textFill>
                  <w14:solidFill>
                    <w14:schemeClr w14:val="tx1"/>
                  </w14:solidFill>
                </w14:textFill>
              </w:rPr>
              <w:t>；</w:t>
            </w:r>
            <w:r>
              <w:rPr>
                <w:rFonts w:hint="eastAsia" w:hAnsi="仿宋_GB2312" w:cs="仿宋_GB2312"/>
                <w:b/>
                <w:bCs/>
                <w:color w:val="000000" w:themeColor="text1"/>
                <w:sz w:val="32"/>
                <w:szCs w:val="32"/>
                <w:lang w:eastAsia="zh-CN"/>
                <w14:textFill>
                  <w14:solidFill>
                    <w14:schemeClr w14:val="tx1"/>
                  </w14:solidFill>
                </w14:textFill>
              </w:rPr>
              <w:t>二</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大要案件多为跨境跨区域案件，</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此类案件幕后源头通常位于区外或境外，</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犯罪团伙组织架构关系错综复杂、</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反侦察能力强</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。如：</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2022年7月8日，</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广西百色市侦办</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南宁海关通报</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的</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在百色靖西市龙邦口岸报关出口货品中夹带假冒品牌手表的“</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9.16</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”假冒注册商标案</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，涉案犯罪团伙拥有</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一个完整、庞大的生产、销售假冒注册商标手表的产业链条，</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隐蔽性强、跨区域、网上网下配合作案，</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生产、组装假冒注册商标手表的犯罪嫌疑人有50人，涉案资金达3085万，</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其中</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犯罪嫌疑人涉及四川、湖南、浙江、福建、广东等多省市</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，还有越南籍人员，该案件涉及地域广，异地协作办案存在难度，涉及境外勾联，境外涉案人员难以抓获，侦办工作存在一定阻力。</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3" w:firstLineChars="200"/>
              <w:textAlignment w:val="auto"/>
              <w:outlineLvl w:val="9"/>
              <w:rPr>
                <w:rFonts w:hint="eastAsia" w:ascii="仿宋_GB2312" w:hAnsi="仿宋_GB2312" w:eastAsia="仿宋_GB2312" w:cs="仿宋_GB2312"/>
                <w:color w:val="000000" w:themeColor="text1"/>
                <w:sz w:val="32"/>
                <w:szCs w:val="32"/>
                <w:lang w:eastAsia="zh-CN"/>
                <w14:textFill>
                  <w14:solidFill>
                    <w14:schemeClr w14:val="tx1"/>
                  </w14:solidFill>
                </w14:textFill>
              </w:rPr>
            </w:pPr>
            <w:r>
              <w:rPr>
                <w:rFonts w:hint="default" w:ascii="Times New Roman" w:hAnsi="Times New Roman" w:cs="Times New Roman"/>
                <w:b/>
                <w:bCs/>
                <w:color w:val="000000" w:themeColor="text1"/>
                <w:kern w:val="0"/>
                <w:sz w:val="32"/>
                <w:szCs w:val="32"/>
                <w:shd w:val="clear" w:color="auto" w:fill="FFFFFF"/>
                <w:lang w:val="en-US" w:eastAsia="zh-CN"/>
                <w14:textFill>
                  <w14:solidFill>
                    <w14:schemeClr w14:val="tx1"/>
                  </w14:solidFill>
                </w14:textFill>
              </w:rPr>
              <w:t>2.</w:t>
            </w:r>
            <w:r>
              <w:rPr>
                <w:rFonts w:hint="eastAsia" w:hAnsi="仿宋_GB2312" w:cs="仿宋_GB2312"/>
                <w:b/>
                <w:bCs/>
                <w:color w:val="000000" w:themeColor="text1"/>
                <w:kern w:val="0"/>
                <w:sz w:val="32"/>
                <w:szCs w:val="32"/>
                <w:shd w:val="clear" w:color="auto" w:fill="FFFFFF"/>
                <w:lang w:eastAsia="zh-CN"/>
                <w14:textFill>
                  <w14:solidFill>
                    <w14:schemeClr w14:val="tx1"/>
                  </w14:solidFill>
                </w14:textFill>
              </w:rPr>
              <w:t>从</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犯罪主要类型</w:t>
            </w:r>
            <w:r>
              <w:rPr>
                <w:rFonts w:hint="eastAsia" w:hAnsi="仿宋_GB2312" w:cs="仿宋_GB2312"/>
                <w:b/>
                <w:bCs/>
                <w:color w:val="000000" w:themeColor="text1"/>
                <w:sz w:val="32"/>
                <w:szCs w:val="32"/>
                <w:lang w:eastAsia="zh-CN"/>
                <w14:textFill>
                  <w14:solidFill>
                    <w14:schemeClr w14:val="tx1"/>
                  </w14:solidFill>
                </w14:textFill>
              </w:rPr>
              <w:t>看，</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一是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商标侵权，这是广西知识产权侵权案件中最常见的类型之一。涉及的商品包括电子产品、家居家装、酒类产品、</w:t>
            </w:r>
            <w:r>
              <w:rPr>
                <w:rFonts w:hint="eastAsia"/>
                <w:color w:val="000000" w:themeColor="text1"/>
                <w:sz w:val="32"/>
                <w:szCs w:val="32"/>
                <w:lang w:eastAsia="zh-CN"/>
                <w14:textFill>
                  <w14:solidFill>
                    <w14:schemeClr w14:val="tx1"/>
                  </w14:solidFill>
                </w14:textFill>
              </w:rPr>
              <w:t>知名品牌</w:t>
            </w:r>
            <w:r>
              <w:rPr>
                <w:rFonts w:hint="eastAsia" w:ascii="仿宋_GB2312" w:eastAsia="仿宋_GB2312"/>
                <w:color w:val="000000" w:themeColor="text1"/>
                <w:sz w:val="32"/>
                <w:szCs w:val="32"/>
                <w:lang w:eastAsia="zh-CN"/>
                <w14:textFill>
                  <w14:solidFill>
                    <w14:schemeClr w14:val="tx1"/>
                  </w14:solidFill>
                </w14:textFill>
              </w:rPr>
              <w:t>农产品</w:t>
            </w:r>
            <w:r>
              <w:rPr>
                <w:rFonts w:hint="eastAsia"/>
                <w:color w:val="000000" w:themeColor="text1"/>
                <w:sz w:val="32"/>
                <w:szCs w:val="32"/>
                <w:lang w:eastAsia="zh-CN"/>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儿童玩具、汽车配件等</w:t>
            </w:r>
            <w:r>
              <w:rPr>
                <w:rFonts w:hint="eastAsia" w:ascii="Times New Roman"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如</w:t>
            </w:r>
            <w:r>
              <w:rPr>
                <w:rFonts w:hint="eastAsia" w:ascii="Times New Roman"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南宁市市场监督管理局查处了一起销售侵犯“中茶”商标专用权的茶叶案。此外，还有涉及地理标志侵权的案件，如假冒宁夏特色地理标志产品</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二是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著作权侵权，这类案件主要集中在视听作品和摄影作品上</w:t>
            </w:r>
            <w:r>
              <w:rPr>
                <w:rFonts w:hint="eastAsia" w:ascii="Times New Roman"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如：侵害作品放映权和信息网络传播权纠纷。</w:t>
            </w:r>
            <w:r>
              <w:rPr>
                <w:rFonts w:hint="eastAsia" w:ascii="Times New Roman" w:hAnsi="Times New Roman" w:eastAsia="仿宋_GB2312" w:cs="Times New Roman"/>
                <w:b/>
                <w:bCs/>
                <w:color w:val="000000" w:themeColor="text1"/>
                <w:kern w:val="2"/>
                <w:sz w:val="32"/>
                <w:szCs w:val="32"/>
                <w:lang w:val="en-US" w:eastAsia="zh-CN" w:bidi="ar-SA"/>
                <w14:textFill>
                  <w14:solidFill>
                    <w14:schemeClr w14:val="tx1"/>
                  </w14:solidFill>
                </w14:textFill>
              </w:rPr>
              <w:t>三是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假冒专利，包括在未被授予专利权的产品或产品包装上标注专利标识，伪造或变造专利证书、文件或申请文件等</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四是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地标品牌、老字号、非物质文化遗产侵权，主要是涉及假冒广西本土知名地标品牌、老字号及非物质文化遗产产品名称、冒用或伪造专用商标的违法犯罪行为，侵害了本地企业合法权益，给本地经济发展造成了一定的破坏</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五是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新兴产业知识产权侵权，这是针对“专精特新”中小企业、高新技术企业的知识产权侵权行为。</w:t>
            </w:r>
            <w:r>
              <w:rPr>
                <w:rFonts w:hint="eastAsia" w:ascii="Times New Roman" w:hAnsi="Times New Roman" w:eastAsia="仿宋_GB2312" w:cs="Times New Roman"/>
                <w:b/>
                <w:bCs/>
                <w:color w:val="000000" w:themeColor="text1"/>
                <w:kern w:val="2"/>
                <w:sz w:val="32"/>
                <w:szCs w:val="32"/>
                <w:lang w:val="en-US" w:eastAsia="zh-CN" w:bidi="ar-SA"/>
                <w14:textFill>
                  <w14:solidFill>
                    <w14:schemeClr w14:val="tx1"/>
                  </w14:solidFill>
                </w14:textFill>
              </w:rPr>
              <w:t>六是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电商平台网络销售和直播带货中的侵权行为，随着电商的发展，网络销售和直播带货成为新的侵权渠道</w:t>
            </w:r>
            <w:r>
              <w:rPr>
                <w:rFonts w:hint="eastAsia" w:ascii="Times New Roman" w:cs="Times New Roman"/>
                <w:color w:val="000000" w:themeColor="text1"/>
                <w:kern w:val="2"/>
                <w:sz w:val="32"/>
                <w:szCs w:val="32"/>
                <w:lang w:val="en-US" w:eastAsia="zh-CN" w:bidi="ar-SA"/>
                <w14:textFill>
                  <w14:solidFill>
                    <w14:schemeClr w14:val="tx1"/>
                  </w14:solidFill>
                </w14:textFill>
              </w:rPr>
              <w:t>。</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七是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涉非法经营成品油违法犯罪乱象丛生，有待进一步健全法制、加强监管和共治。当前，成品油犯罪的形式多种多样，包括危险作业、非法运输与走私、生产销售伪劣产品、偷逃税款和掩饰、隐瞒犯罪所得等，这些犯罪行为具有较强的隐蔽性，往往在隐蔽地域和特殊时段通过地下渠道进行，难以被及时发现和打击，且犯罪的链条长、专业领域狭窄，监管难度大，缺乏国家标准和法律依据，近两年来，还出现了疑似以新能源为幌子生产销售伪劣成品油的新业态</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3" w:firstLineChars="200"/>
              <w:textAlignment w:val="auto"/>
              <w:outlineLvl w:val="9"/>
              <w:rPr>
                <w:rFonts w:hint="default" w:ascii="Times New Roman" w:hAnsi="Times New Roman" w:eastAsia="仿宋_GB2312" w:cs="Times New Roman"/>
                <w:color w:val="000000" w:themeColor="text1"/>
                <w:sz w:val="32"/>
                <w:szCs w:val="32"/>
                <w14:textFill>
                  <w14:solidFill>
                    <w14:schemeClr w14:val="tx1"/>
                  </w14:solidFill>
                </w14:textFill>
              </w:rPr>
            </w:pPr>
            <w:r>
              <w:rPr>
                <w:rFonts w:hint="default" w:ascii="Times New Roman" w:hAnsi="Times New Roman" w:cs="Times New Roman"/>
                <w:b/>
                <w:bCs/>
                <w:color w:val="000000" w:themeColor="text1"/>
                <w:sz w:val="32"/>
                <w:szCs w:val="32"/>
                <w:lang w:val="en-US" w:eastAsia="zh-CN"/>
                <w14:textFill>
                  <w14:solidFill>
                    <w14:schemeClr w14:val="tx1"/>
                  </w14:solidFill>
                </w14:textFill>
              </w:rPr>
              <w:t>3.</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从犯罪伎俩和手法特点看</w:t>
            </w:r>
            <w:r>
              <w:rPr>
                <w:rFonts w:hint="eastAsia" w:hAnsi="仿宋_GB2312" w:cs="仿宋_GB2312"/>
                <w:b/>
                <w:bCs/>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一是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犯罪手法全面网络化、科技化、智能化，通过互联网、直播带货、电商、社交媒体等平台进行销售，涉及面广，隐蔽性强，给追踪和取证带来困难</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二是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犯罪组织结构复杂多变，往往形成跨地域、跨行业的犯罪网络，涉及领域广泛，包括软件盗版、假冒名牌、侵犯商业秘密等</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三是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犯罪行为的瞬息万变和高度智能化使得犯罪模式难以预测，传统的侦查手段难以应对，有的企业上游半成品、印刷（包装袋）、生产、推销、销售环节分工合作，各司其职，既可以联合作案（均知情），也可以单独作案（部分不知情或不知情），当前直接恶意生产销售假冒伪劣产品的企业较少，大部分正规资质企业既生产合格产品，也生产不合格产品</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Times New Roman" w:hAnsi="Times New Roman" w:eastAsia="仿宋_GB2312" w:cs="Times New Roman"/>
                <w:b/>
                <w:bCs/>
                <w:color w:val="000000" w:themeColor="text1"/>
                <w:sz w:val="32"/>
                <w:szCs w:val="32"/>
                <w:lang w:eastAsia="zh-CN"/>
                <w14:textFill>
                  <w14:solidFill>
                    <w14:schemeClr w14:val="tx1"/>
                  </w14:solidFill>
                </w14:textFill>
              </w:rPr>
              <w:t>四是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家族式企业“结伙”作案，多数犯罪团伙以家庭成员、亲戚、同乡等关系为纽带，成员间信任度高，便于形成紧密的利益共同体，有的是夫妻</w:t>
            </w:r>
            <w:r>
              <w:rPr>
                <w:rFonts w:hint="eastAsia" w:ascii="Times New Roman"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同乡共同组织生产，从事不同环节的工作等；有的是不同团伙或个人为追求非法利益相互勾结，形成上下游合作关系；有的是原材料供应商、制假者、销售商之间，通过利益分配达成合作，形成完整的黑灰产业链</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五是</w:t>
            </w:r>
            <w:r>
              <w:rPr>
                <w:rFonts w:hint="eastAsia" w:hAnsi="仿宋_GB2312" w:cs="仿宋_GB2312"/>
                <w:b w:val="0"/>
                <w:bCs w:val="0"/>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委托”</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生产企业多</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鉴于流通成本，相当部分</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假劣产品</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属于外地</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知</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名公</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司“委托”当地公司生产的。其一种形态是正规合同约定的委托生产，其二种形态是完全假冒的“委托”生产，其三种形态是有限度的“委托”生产，部分造假企业远距离找些持生产许可证的小厂家，先委托或先购进一批产品索取该厂的正规资料后，鉴于该企业规模较小、打假能力较低，进而生产、销售标称该厂的产品，再利用标识上的手段，故意隐藏真实的生产厂家企业信息，此类情况一旦被发现，迅速交罚款企图掩盖了事</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六是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部分案件具有不落地作案的特点。违法犯罪分子从上游企业购进</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假冒伪劣产品</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，使用非成品包装，用大卡车拉到隐蔽场所，再用另一辆大卡车对接，在两对接的车厢上直接翻包装成假冒其他</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品牌</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的产品，然后直接分散</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出售</w:t>
            </w:r>
            <w:r>
              <w:rPr>
                <w:rFonts w:hint="default" w:ascii="Times New Roman" w:hAnsi="Times New Roman" w:eastAsia="仿宋_GB2312" w:cs="Times New Roman"/>
                <w:color w:val="000000" w:themeColor="text1"/>
                <w:sz w:val="32"/>
                <w:szCs w:val="32"/>
                <w14:textFill>
                  <w14:solidFill>
                    <w14:schemeClr w14:val="tx1"/>
                  </w14:solidFill>
                </w14:textFill>
              </w:rPr>
              <w:t>。</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3" w:firstLineChars="200"/>
              <w:textAlignment w:val="auto"/>
              <w:outlineLvl w:val="9"/>
              <w:rPr>
                <w:rFonts w:hint="eastAsia" w:hAnsi="仿宋_GB2312" w:cs="仿宋_GB2312"/>
                <w:color w:val="000000" w:themeColor="text1"/>
                <w:kern w:val="0"/>
                <w:sz w:val="32"/>
                <w:szCs w:val="32"/>
                <w:shd w:val="clear" w:color="auto" w:fill="FFFFFF"/>
                <w:lang w:eastAsia="zh-CN"/>
                <w14:textFill>
                  <w14:solidFill>
                    <w14:schemeClr w14:val="tx1"/>
                  </w14:solidFill>
                </w14:textFill>
              </w:rPr>
            </w:pPr>
            <w:r>
              <w:rPr>
                <w:rFonts w:hint="default" w:ascii="Times New Roman" w:hAnsi="Times New Roman" w:cs="Times New Roman"/>
                <w:b/>
                <w:bCs/>
                <w:color w:val="000000" w:themeColor="text1"/>
                <w:sz w:val="32"/>
                <w:szCs w:val="32"/>
                <w:lang w:val="en-US" w:eastAsia="zh-CN"/>
                <w14:textFill>
                  <w14:solidFill>
                    <w14:schemeClr w14:val="tx1"/>
                  </w14:solidFill>
                </w14:textFill>
              </w:rPr>
              <w:t>4.</w:t>
            </w:r>
            <w:r>
              <w:rPr>
                <w:rFonts w:hint="eastAsia" w:hAnsi="仿宋_GB2312" w:cs="仿宋_GB2312"/>
                <w:b/>
                <w:bCs/>
                <w:color w:val="000000" w:themeColor="text1"/>
                <w:sz w:val="32"/>
                <w:szCs w:val="32"/>
                <w:lang w:val="en-US" w:eastAsia="zh-CN"/>
                <w14:textFill>
                  <w14:solidFill>
                    <w14:schemeClr w14:val="tx1"/>
                  </w14:solidFill>
                </w14:textFill>
              </w:rPr>
              <w:t>从知识产权犯罪的</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专业技术方面</w:t>
            </w:r>
            <w:r>
              <w:rPr>
                <w:rFonts w:hint="eastAsia" w:hAnsi="仿宋_GB2312" w:cs="仿宋_GB2312"/>
                <w:b/>
                <w:bCs/>
                <w:color w:val="000000" w:themeColor="text1"/>
                <w:sz w:val="32"/>
                <w:szCs w:val="32"/>
                <w:lang w:val="en-US" w:eastAsia="zh-CN"/>
                <w14:textFill>
                  <w14:solidFill>
                    <w14:schemeClr w14:val="tx1"/>
                  </w14:solidFill>
                </w14:textFill>
              </w:rPr>
              <w:t>看，</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一是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嫌疑人具备专业的技术知识，能够对正版产品进行逆向工程分析，破解其技术秘密并进行仿制，或者利用先进的软件技术，破解正版软件的加密保护，制作盗版软件</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二是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嫌疑人利用专业的化学知识，调配出与正品相似外观和气味的伪劣化妆品，运用现代物流信息技术，建立复杂的物流网络，将伪劣商品快速分发到各地，逃避监管打击</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p>
          <w:p>
            <w:pPr>
              <w:pStyle w:val="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楷体_GB2312" w:hAnsi="楷体_GB2312" w:eastAsia="楷体_GB2312" w:cs="楷体_GB2312"/>
                <w:snapToGrid w:val="0"/>
                <w:color w:val="000000" w:themeColor="text1"/>
                <w:kern w:val="0"/>
                <w:sz w:val="32"/>
                <w:szCs w:val="32"/>
                <w:lang w:val="en-US" w:eastAsia="zh-CN" w:bidi="ar-SA"/>
                <w14:textFill>
                  <w14:solidFill>
                    <w14:schemeClr w14:val="tx1"/>
                  </w14:solidFill>
                </w14:textFill>
              </w:rPr>
              <w:t>（三）产业特征。</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犯罪产业领域主要集中在名牌烟（含电子烟）、名牌酒、服装鞋帽、电子产品、出版物、农资、知名商标标识及地标品牌产品等领域，网络游戏、化工产品也有涉及，行业“潜规则”和监管部门管理存在漏洞给产品质量安全带来较大风险隐患。犯罪产业呈现“生产-运输-分销”全链条特征，通过分装运输等技术手段掩盖犯罪路径，形成跨区域式犯罪网络；侦办的大要案件体现在</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一是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涉假冒知名商标品牌的大要案件涉案金额较高，如：</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2024年2月1日，桂林市公安局侦破</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一</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起</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涉</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LV品牌运动鞋</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的</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假冒注册商标案，</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抓获犯罪嫌疑人20人，捣毁</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生产窝点</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2</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个</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存储仓库1个，</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扣押</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假冒LV品牌运动鞋11791双、生产设备73台</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及</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生产原材料3.6吨。经查明，该案涉及的生产原材料及销售渠道涉及广东省广州市、佛山市、福建省莆田市等地，</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涉案金额</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5.5亿元。</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2024年5月9日，玉林市公安局侦破一起涉假冒品牌运动服装的销售假冒注册商标的商品案，抓获犯罪嫌疑人15人，捣毁经营中的假冒阿迪达斯、耐克专卖店共7间、储存假货窝点5处，扣押假冒阿迪达斯、耐克品牌的鞋子9000余双，服饰12000余件（套）以及背包帽子等货物一批，涉案金额6000余万元</w:t>
            </w:r>
            <w:r>
              <w:rPr>
                <w:rFonts w:hint="eastAsia" w:ascii="Times New Roman" w:hAnsi="Times New Roman" w:eastAsia="仿宋_GB2312" w:cs="Times New Roman"/>
                <w:b w:val="0"/>
                <w:bCs w:val="0"/>
                <w:color w:val="000000" w:themeColor="text1"/>
                <w:kern w:val="0"/>
                <w:sz w:val="32"/>
                <w:szCs w:val="32"/>
                <w:shd w:val="clear" w:color="auto" w:fill="FFFFFF"/>
                <w:lang w:val="en-US" w:eastAsia="zh-CN" w:bidi="ar-SA"/>
                <w14:textFill>
                  <w14:solidFill>
                    <w14:schemeClr w14:val="tx1"/>
                  </w14:solidFill>
                </w14:textFill>
              </w:rPr>
              <w:t>。</w:t>
            </w:r>
            <w:r>
              <w:rPr>
                <w:rFonts w:hint="eastAsia" w:ascii="仿宋_GB2312" w:hAnsi="仿宋_GB2312" w:eastAsia="仿宋_GB2312" w:cs="仿宋_GB2312"/>
                <w:color w:val="000000" w:themeColor="text1"/>
                <w:sz w:val="32"/>
                <w:szCs w:val="32"/>
                <w:lang w:eastAsia="zh-CN"/>
                <w14:textFill>
                  <w14:solidFill>
                    <w14:schemeClr w14:val="tx1"/>
                  </w14:solidFill>
                </w14:textFill>
              </w:rPr>
              <w:t>二</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在生产环节方面，嫌疑人掌握非法复制或模仿知名品牌的商标、专利等技术，如通过高精度的印刷设备伪造名牌商标标识或利用</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3D</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打印等技术快速复制外观设计专利产品，采用劣质原材料以降低成本，简化生产工艺、除去必要的质量检验检测环节</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三是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在销售环节方面，嫌疑人通过网络平台进行销售，利用电商平台的海量商品信息隐藏侵权商品，或在直播带货中销售侵权产品，还会将侵权产品混入正规产品渠道，通过与正规经销商合作或假冒正规经销商的方式，将产品销往全国各地，再以低价吸引消费者，打着“清仓甩卖”“外贸尾单”等幌子销售伪劣商品，通过虚假宣传夸大产品功效或性能，供应渠道呈现多样化和隐蔽化，通过多层级的批发商、代理商形成复杂购销网络。部分嫌疑人利用物流、快递渠道，采用虚假申报、夹带等手段运输货物，频繁更换供应商和运输路线逃避打击</w:t>
            </w:r>
            <w:r>
              <w:rPr>
                <w:rFonts w:hint="eastAsia" w:ascii="仿宋_GB2312" w:hAnsi="仿宋_GB2312" w:eastAsia="仿宋_GB2312" w:cs="仿宋_GB2312"/>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四是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在规避监管打击手段方面，嫌疑人采用隐蔽的生产销售方式，频繁更换生产地点，利用废弃工厂、居民楼等隐蔽场所进行生产，地址多位于城乡结合部、偏远乡村等监管薄弱地区，团伙内部分工明确，如：专人从事组织管理，专人从事技术操作，专人从事采购原材料，一些制假者还会高薪聘请专业技术人员，提升假冒伪劣产品的仿真度，还使用虚假身份信息注册公司或开设网店，混淆执法部门的视线，伪造或篡改产品的生产日期、保质期、质量检验合格标志等信息，使伪劣商品表面看起来符合质检标准，采用“真假混卖”的方式，增加了案件查处的难度。</w:t>
            </w:r>
          </w:p>
          <w:p>
            <w:pPr>
              <w:pStyle w:val="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楷体_GB2312" w:hAnsi="楷体_GB2312" w:eastAsia="楷体_GB2312" w:cs="楷体_GB2312"/>
                <w:snapToGrid w:val="0"/>
                <w:color w:val="000000" w:themeColor="text1"/>
                <w:kern w:val="0"/>
                <w:sz w:val="32"/>
                <w:szCs w:val="32"/>
                <w:lang w:val="en-US" w:eastAsia="zh-CN" w:bidi="ar-SA"/>
                <w14:textFill>
                  <w14:solidFill>
                    <w14:schemeClr w14:val="tx1"/>
                  </w14:solidFill>
                </w14:textFill>
              </w:rPr>
              <w:t>（四）犯罪主体。</w:t>
            </w:r>
            <w:r>
              <w:rPr>
                <w:rFonts w:hint="eastAsia" w:ascii="仿宋_GB2312" w:hAnsi="仿宋_GB2312" w:eastAsia="仿宋_GB2312" w:cs="仿宋_GB2312"/>
                <w:b/>
                <w:bCs/>
                <w:color w:val="000000" w:themeColor="text1"/>
                <w:kern w:val="0"/>
                <w:sz w:val="32"/>
                <w:szCs w:val="32"/>
                <w:lang w:val="en-US" w:eastAsia="zh-CN" w:bidi="ar-SA"/>
                <w14:textFill>
                  <w14:solidFill>
                    <w14:schemeClr w14:val="tx1"/>
                  </w14:solidFill>
                </w14:textFill>
              </w:rPr>
              <w:t>犯罪主体主要分为三类：</w:t>
            </w:r>
            <w:r>
              <w:rPr>
                <w:rFonts w:hint="eastAsia" w:ascii="仿宋_GB2312" w:hAnsi="仿宋_GB2312" w:eastAsia="仿宋_GB2312" w:cs="仿宋_GB2312"/>
                <w:color w:val="000000" w:themeColor="text1"/>
                <w:kern w:val="0"/>
                <w:sz w:val="32"/>
                <w:szCs w:val="32"/>
                <w:lang w:val="en-US" w:eastAsia="zh-CN" w:bidi="ar-SA"/>
                <w14:textFill>
                  <w14:solidFill>
                    <w14:schemeClr w14:val="tx1"/>
                  </w14:solidFill>
                </w14:textFill>
              </w:rPr>
              <w:t>自</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然人主体（个体工商户及个人经营者、企业实际控制人与员工）、单位主体（本地企业法人、跨区域关联企业）、特殊主体类型（物流运输参与者、电商平台经营者）</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w:t>
            </w:r>
            <w:r>
              <w:rPr>
                <w:rFonts w:hint="eastAsia" w:ascii="仿宋_GB2312" w:hAnsi="仿宋_GB2312" w:eastAsia="仿宋_GB2312" w:cs="仿宋_GB2312"/>
                <w:b/>
                <w:bCs/>
                <w:color w:val="000000" w:themeColor="text1"/>
                <w:kern w:val="0"/>
                <w:sz w:val="32"/>
                <w:szCs w:val="32"/>
                <w:lang w:val="en-US" w:eastAsia="zh-CN" w:bidi="ar-SA"/>
                <w14:textFill>
                  <w14:solidFill>
                    <w14:schemeClr w14:val="tx1"/>
                  </w14:solidFill>
                </w14:textFill>
              </w:rPr>
              <w:t>一是自然人主体（个体工商户及个人经营者、企业实际控制人与员工）</w:t>
            </w:r>
            <w:r>
              <w:rPr>
                <w:rFonts w:hint="eastAsia" w:ascii="仿宋_GB2312" w:hAnsi="仿宋_GB2312" w:eastAsia="仿宋_GB2312" w:cs="仿宋_GB2312"/>
                <w:color w:val="000000" w:themeColor="text1"/>
                <w:kern w:val="0"/>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涵盖多个年龄段和社会阶层，既有文化程度较低、缺乏就业技能的人员，为获取经济利益参与到制假售假的基础环节，如生产包装、运输等工作环节；也有具备一定文化水平和商业头脑的人，负责策划、组织和销售等关键环节，甚至还有一些嫌疑人曾经从事过同类合法行业和正规企业的人员，利用其专业知识和行业经验参与犯罪，熟悉生产工艺、市场渠道等，离职后利用原有的资源和经验从事侵权和制假售假活动；还有一些是从事物流、电商运营、市场营销等行业的人员，他们利用自身在物流配送、网络销售、市场推广等方面的便利条件，为犯罪活动提供支持，比如物流人员帮助运输假冒伪劣商品，电商运营者协助搭建虚假销售平台等</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二是</w:t>
            </w:r>
            <w:r>
              <w:rPr>
                <w:rFonts w:hint="eastAsia" w:ascii="仿宋_GB2312" w:hAnsi="仿宋_GB2312" w:eastAsia="仿宋_GB2312" w:cs="仿宋_GB2312"/>
                <w:b/>
                <w:bCs/>
                <w:color w:val="000000" w:themeColor="text1"/>
                <w:kern w:val="0"/>
                <w:sz w:val="32"/>
                <w:szCs w:val="32"/>
                <w:lang w:val="en-US" w:eastAsia="zh-CN" w:bidi="ar-SA"/>
                <w14:textFill>
                  <w14:solidFill>
                    <w14:schemeClr w14:val="tx1"/>
                  </w14:solidFill>
                </w14:textFill>
              </w:rPr>
              <w:t>单位主体</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公司化组织模式</w:t>
            </w:r>
            <w:r>
              <w:rPr>
                <w:rFonts w:hint="eastAsia" w:ascii="仿宋_GB2312" w:hAnsi="仿宋_GB2312" w:eastAsia="仿宋_GB2312" w:cs="仿宋_GB2312"/>
                <w:b/>
                <w:bCs/>
                <w:color w:val="000000" w:themeColor="text1"/>
                <w:kern w:val="0"/>
                <w:sz w:val="32"/>
                <w:szCs w:val="32"/>
                <w:lang w:val="en-US" w:eastAsia="zh-CN" w:bidi="ar-SA"/>
                <w14:textFill>
                  <w14:solidFill>
                    <w14:schemeClr w14:val="tx1"/>
                  </w14:solidFill>
                </w14:textFill>
              </w:rPr>
              <w:t>（本地企业法人、跨区域关联企业）</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此类犯罪常以合法注册的公司为幌子，内部架构看似正规，有明确的部门设置和人员分工，如设有生产部、销售部、物流部等，以公司运营的方式掩盖非法活动，利用公司的资金流、物流体系进行大规模的侵权和制假售假，还会通过复杂的财务手段来转移和洗白非法所得</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三是</w:t>
            </w:r>
            <w:r>
              <w:rPr>
                <w:rFonts w:hint="eastAsia" w:ascii="仿宋_GB2312" w:hAnsi="仿宋_GB2312" w:eastAsia="仿宋_GB2312" w:cs="仿宋_GB2312"/>
                <w:b/>
                <w:bCs/>
                <w:color w:val="000000" w:themeColor="text1"/>
                <w:kern w:val="0"/>
                <w:sz w:val="32"/>
                <w:szCs w:val="32"/>
                <w:lang w:val="en-US" w:eastAsia="zh-CN" w:bidi="ar-SA"/>
                <w14:textFill>
                  <w14:solidFill>
                    <w14:schemeClr w14:val="tx1"/>
                  </w14:solidFill>
                </w14:textFill>
              </w:rPr>
              <w:t>特殊主体类型</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团伙化组织模式</w:t>
            </w:r>
            <w:r>
              <w:rPr>
                <w:rFonts w:hint="eastAsia" w:ascii="仿宋_GB2312" w:hAnsi="仿宋_GB2312" w:eastAsia="仿宋_GB2312" w:cs="仿宋_GB2312"/>
                <w:b/>
                <w:bCs/>
                <w:color w:val="000000" w:themeColor="text1"/>
                <w:kern w:val="0"/>
                <w:sz w:val="32"/>
                <w:szCs w:val="32"/>
                <w:lang w:val="en-US" w:eastAsia="zh-CN" w:bidi="ar-SA"/>
                <w14:textFill>
                  <w14:solidFill>
                    <w14:schemeClr w14:val="tx1"/>
                  </w14:solidFill>
                </w14:textFill>
              </w:rPr>
              <w:t>（物流运输参与者、电商平台经营者）</w:t>
            </w:r>
            <w:r>
              <w:rPr>
                <w:rFonts w:hint="eastAsia" w:hAnsi="仿宋_GB2312" w:cs="仿宋_GB2312"/>
                <w:color w:val="000000" w:themeColor="text1"/>
                <w:sz w:val="32"/>
                <w:szCs w:val="32"/>
                <w:lang w:val="en-US" w:eastAsia="zh-CN"/>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通常是由核心成员牵头，聚集一批人员形成相对固定的团伙，成员之间分工协作，有的负责寻找客源、销售渠道，有的负责运输、仓储，有的负责与上游供应商和下游客户对接，团伙成员之间多通过单线联系等隐蔽方式进行沟通，以逃避监管打击。</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eastAsia" w:ascii="楷体_GB2312" w:hAnsi="楷体_GB2312" w:eastAsia="楷体_GB2312" w:cs="楷体_GB2312"/>
                <w:snapToGrid w:val="0"/>
                <w:color w:val="000000" w:themeColor="text1"/>
                <w:kern w:val="0"/>
                <w:sz w:val="32"/>
                <w:szCs w:val="32"/>
                <w:lang w:eastAsia="zh-CN"/>
                <w14:textFill>
                  <w14:solidFill>
                    <w14:schemeClr w14:val="tx1"/>
                  </w14:solidFill>
                </w14:textFill>
              </w:rPr>
            </w:pPr>
            <w:r>
              <w:rPr>
                <w:rFonts w:hint="eastAsia" w:ascii="楷体_GB2312" w:hAnsi="楷体_GB2312" w:eastAsia="楷体_GB2312" w:cs="楷体_GB2312"/>
                <w:snapToGrid w:val="0"/>
                <w:color w:val="000000" w:themeColor="text1"/>
                <w:kern w:val="0"/>
                <w:sz w:val="32"/>
                <w:szCs w:val="32"/>
                <w:lang w:val="en-US" w:eastAsia="zh-CN"/>
                <w14:textFill>
                  <w14:solidFill>
                    <w14:schemeClr w14:val="tx1"/>
                  </w14:solidFill>
                </w14:textFill>
              </w:rPr>
              <w:t>（五）犯罪后果。</w:t>
            </w:r>
            <w:r>
              <w:rPr>
                <w:rFonts w:hint="eastAsia" w:hAnsi="仿宋_GB2312" w:cs="仿宋_GB2312"/>
                <w:b/>
                <w:bCs/>
                <w:color w:val="000000" w:themeColor="text1"/>
                <w:sz w:val="32"/>
                <w:szCs w:val="32"/>
                <w:lang w:val="en-US" w:eastAsia="zh-CN"/>
                <w14:textFill>
                  <w14:solidFill>
                    <w14:schemeClr w14:val="tx1"/>
                  </w14:solidFill>
                </w14:textFill>
              </w:rPr>
              <w:t>从</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对权利人企业的危害</w:t>
            </w:r>
            <w:r>
              <w:rPr>
                <w:rFonts w:hint="eastAsia" w:hAnsi="仿宋_GB2312" w:cs="仿宋_GB2312"/>
                <w:b/>
                <w:bCs/>
                <w:color w:val="000000" w:themeColor="text1"/>
                <w:sz w:val="32"/>
                <w:szCs w:val="32"/>
                <w:lang w:val="en-US" w:eastAsia="zh-CN"/>
                <w14:textFill>
                  <w14:solidFill>
                    <w14:schemeClr w14:val="tx1"/>
                  </w14:solidFill>
                </w14:textFill>
              </w:rPr>
              <w:t>看，</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一是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经济损失巨大。侵权假冒犯罪活动大量抢占正品市场份额，导致权利人企业销售额下降、利润减少</w:t>
            </w:r>
            <w:r>
              <w:rPr>
                <w:rFonts w:hint="eastAsia" w:hAnsi="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二是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创新动力受挫。企业投入大量资源进行研发创新，却被侵权者轻易抄袭模仿，创新成果得不到保护，会削弱企业创新积极性，影响企业长远发展和核心竞争力</w:t>
            </w:r>
            <w:r>
              <w:rPr>
                <w:rFonts w:hint="eastAsia" w:hAnsi="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三是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品牌形象受损。伪劣商品质量无保障，消费者使用后可能对品牌产生负面印象，降低品牌信誉度，破坏企业长期建立的品牌价值及区域经济形象</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hAnsi="仿宋_GB2312" w:cs="仿宋_GB2312"/>
                <w:b/>
                <w:bCs/>
                <w:color w:val="000000" w:themeColor="text1"/>
                <w:sz w:val="32"/>
                <w:szCs w:val="32"/>
                <w:lang w:val="en-US" w:eastAsia="zh-CN"/>
                <w14:textFill>
                  <w14:solidFill>
                    <w14:schemeClr w14:val="tx1"/>
                  </w14:solidFill>
                </w14:textFill>
              </w:rPr>
              <w:t>四</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企业公平竞争氛围和营商环境受到破坏，企业合法生存空间被挤压，阻碍了产业升级，增加了企业运营成本，不利于鼓励创新和技术进步，使企业不愿投入资源进行研发创新，阻碍产业向高端化、智能化、绿色化升级，影响经济高质量发展，影响了社会经济效益，阻碍区域经济合作交流和发展</w:t>
            </w:r>
            <w:r>
              <w:rPr>
                <w:rFonts w:hint="eastAsia" w:hAnsi="仿宋_GB2312" w:cs="仿宋_GB2312"/>
                <w:b w:val="0"/>
                <w:bCs w:val="0"/>
                <w:color w:val="000000" w:themeColor="text1"/>
                <w:kern w:val="0"/>
                <w:sz w:val="32"/>
                <w:szCs w:val="32"/>
                <w:lang w:val="en-US" w:eastAsia="zh-CN" w:bidi="ar-SA"/>
                <w14:textFill>
                  <w14:solidFill>
                    <w14:schemeClr w14:val="tx1"/>
                  </w14:solidFill>
                </w14:textFill>
              </w:rPr>
              <w:t>。</w:t>
            </w:r>
            <w:r>
              <w:rPr>
                <w:rFonts w:hint="eastAsia" w:hAnsi="仿宋_GB2312" w:cs="仿宋_GB2312"/>
                <w:b/>
                <w:bCs/>
                <w:color w:val="000000" w:themeColor="text1"/>
                <w:kern w:val="0"/>
                <w:sz w:val="32"/>
                <w:szCs w:val="32"/>
                <w:lang w:val="en-US" w:eastAsia="zh-CN" w:bidi="ar-SA"/>
                <w14:textFill>
                  <w14:solidFill>
                    <w14:schemeClr w14:val="tx1"/>
                  </w14:solidFill>
                </w14:textFill>
              </w:rPr>
              <w:t>从</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对消费者的危害</w:t>
            </w:r>
            <w:r>
              <w:rPr>
                <w:rFonts w:hint="eastAsia" w:hAnsi="仿宋_GB2312" w:cs="仿宋_GB2312"/>
                <w:b/>
                <w:bCs/>
                <w:color w:val="000000" w:themeColor="text1"/>
                <w:sz w:val="32"/>
                <w:szCs w:val="32"/>
                <w:lang w:val="en-US" w:eastAsia="zh-CN"/>
                <w14:textFill>
                  <w14:solidFill>
                    <w14:schemeClr w14:val="tx1"/>
                  </w14:solidFill>
                </w14:textFill>
              </w:rPr>
              <w:t>看，</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伪劣产品损害了消费者的合法权益，危及消费者生命健康，降低消费者对品牌及市场的信任度和认可度，影响消费市场的健康发展，抑制了消费需求</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eastAsia" w:hAnsi="仿宋_GB2312" w:cs="仿宋_GB2312"/>
                <w:b w:val="0"/>
                <w:bCs w:val="0"/>
                <w:color w:val="000000" w:themeColor="text1"/>
                <w:kern w:val="0"/>
                <w:sz w:val="32"/>
                <w:szCs w:val="32"/>
                <w:lang w:val="en-US" w:eastAsia="zh-CN" w:bidi="ar-SA"/>
                <w14:textFill>
                  <w14:solidFill>
                    <w14:schemeClr w14:val="tx1"/>
                  </w14:solidFill>
                </w14:textFill>
              </w:rPr>
            </w:pPr>
            <w:r>
              <w:rPr>
                <w:rFonts w:hint="eastAsia" w:ascii="楷体_GB2312" w:hAnsi="楷体_GB2312" w:eastAsia="楷体_GB2312" w:cs="楷体_GB2312"/>
                <w:snapToGrid w:val="0"/>
                <w:color w:val="000000" w:themeColor="text1"/>
                <w:kern w:val="0"/>
                <w:sz w:val="32"/>
                <w:szCs w:val="32"/>
                <w:lang w:val="en-US" w:eastAsia="zh-CN"/>
                <w14:textFill>
                  <w14:solidFill>
                    <w14:schemeClr w14:val="tx1"/>
                  </w14:solidFill>
                </w14:textFill>
              </w:rPr>
              <w:t>（六）对当前和今后一个时期知识产权犯罪趋势及风险的判断。</w:t>
            </w:r>
            <w:r>
              <w:rPr>
                <w:rFonts w:hint="eastAsia" w:hAnsi="仿宋_GB2312" w:cs="仿宋_GB2312"/>
                <w:b w:val="0"/>
                <w:bCs w:val="0"/>
                <w:color w:val="000000" w:themeColor="text1"/>
                <w:kern w:val="0"/>
                <w:sz w:val="32"/>
                <w:szCs w:val="32"/>
                <w:lang w:val="en-US" w:eastAsia="zh-CN" w:bidi="ar-SA"/>
                <w14:textFill>
                  <w14:solidFill>
                    <w14:schemeClr w14:val="tx1"/>
                  </w14:solidFill>
                </w14:textFill>
              </w:rPr>
              <w:t>当前</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和今后一个时期，侵权假冒犯罪呈现出案件数量上升、类型多样化、网络化和产业化趋势明显、地域分布集中等特点。</w:t>
            </w:r>
            <w:r>
              <w:rPr>
                <w:rFonts w:hint="eastAsia" w:ascii="仿宋_GB2312" w:hAnsi="仿宋_GB2312" w:eastAsia="仿宋_GB2312" w:cs="仿宋_GB2312"/>
                <w:b/>
                <w:bCs/>
                <w:color w:val="000000" w:themeColor="text1"/>
                <w:kern w:val="0"/>
                <w:sz w:val="32"/>
                <w:szCs w:val="32"/>
                <w:lang w:val="en-US" w:eastAsia="zh-CN" w:bidi="ar-SA"/>
                <w14:textFill>
                  <w14:solidFill>
                    <w14:schemeClr w14:val="tx1"/>
                  </w14:solidFill>
                </w14:textFill>
              </w:rPr>
              <w:t>从</w:t>
            </w:r>
            <w:r>
              <w:rPr>
                <w:rFonts w:hint="eastAsia" w:ascii="仿宋_GB2312" w:hAnsi="仿宋_GB2312" w:eastAsia="仿宋_GB2312" w:cs="仿宋_GB2312"/>
                <w:b/>
                <w:bCs/>
                <w:color w:val="000000" w:themeColor="text1"/>
                <w:sz w:val="32"/>
                <w:szCs w:val="32"/>
                <w14:textFill>
                  <w14:solidFill>
                    <w14:schemeClr w14:val="tx1"/>
                  </w14:solidFill>
                </w14:textFill>
              </w:rPr>
              <w:t>技术发展对侵权假冒犯罪模式的影响</w:t>
            </w:r>
            <w:r>
              <w:rPr>
                <w:rFonts w:hint="eastAsia" w:hAnsi="仿宋_GB2312" w:cs="仿宋_GB2312"/>
                <w:b/>
                <w:bCs/>
                <w:color w:val="000000" w:themeColor="text1"/>
                <w:sz w:val="32"/>
                <w:szCs w:val="32"/>
                <w:lang w:eastAsia="zh-CN"/>
                <w14:textFill>
                  <w14:solidFill>
                    <w14:schemeClr w14:val="tx1"/>
                  </w14:solidFill>
                </w14:textFill>
              </w:rPr>
              <w:t>来</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看</w:t>
            </w:r>
            <w:r>
              <w:rPr>
                <w:rFonts w:hint="eastAsia" w:hAnsi="仿宋_GB2312" w:cs="仿宋_GB2312"/>
                <w:b/>
                <w:bCs/>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技术发展不仅为侵权假冒犯罪提供了新的手段和平台，也对打击侵权假冒工作提出了更高的要求</w:t>
            </w:r>
            <w:r>
              <w:rPr>
                <w:rFonts w:hint="eastAsia" w:hAnsi="仿宋_GB2312" w:cs="仿宋_GB2312"/>
                <w:b w:val="0"/>
                <w:bCs w:val="0"/>
                <w:color w:val="000000" w:themeColor="text1"/>
                <w:kern w:val="0"/>
                <w:sz w:val="32"/>
                <w:szCs w:val="32"/>
                <w:lang w:val="en-US" w:eastAsia="zh-CN" w:bidi="ar-SA"/>
                <w14:textFill>
                  <w14:solidFill>
                    <w14:schemeClr w14:val="tx1"/>
                  </w14:solidFill>
                </w14:textFill>
              </w:rPr>
              <w:t>，需要提升多元共治水平，要</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加强技术手段的应用，完善法律法规，强化国际合作，以有效应对这一挑战。</w:t>
            </w:r>
            <w:r>
              <w:rPr>
                <w:rFonts w:hint="eastAsia" w:hAnsi="仿宋_GB2312" w:cs="仿宋_GB2312"/>
                <w:b/>
                <w:bCs/>
                <w:color w:val="000000" w:themeColor="text1"/>
                <w:kern w:val="0"/>
                <w:sz w:val="32"/>
                <w:szCs w:val="32"/>
                <w:lang w:val="en-US" w:eastAsia="zh-CN" w:bidi="ar-SA"/>
                <w14:textFill>
                  <w14:solidFill>
                    <w14:schemeClr w14:val="tx1"/>
                  </w14:solidFill>
                </w14:textFill>
              </w:rPr>
              <w:t>从</w:t>
            </w:r>
            <w:r>
              <w:rPr>
                <w:rFonts w:hint="eastAsia" w:ascii="仿宋_GB2312" w:hAnsi="仿宋_GB2312" w:eastAsia="仿宋_GB2312" w:cs="仿宋_GB2312"/>
                <w:b/>
                <w:bCs/>
                <w:color w:val="000000" w:themeColor="text1"/>
                <w:kern w:val="0"/>
                <w:sz w:val="32"/>
                <w:szCs w:val="32"/>
                <w:lang w:val="en-US" w:eastAsia="zh-CN" w:bidi="ar-SA"/>
                <w14:textFill>
                  <w14:solidFill>
                    <w14:schemeClr w14:val="tx1"/>
                  </w14:solidFill>
                </w14:textFill>
              </w:rPr>
              <w:t>经济发展水平与侵权假冒犯罪的关系</w:t>
            </w:r>
            <w:r>
              <w:rPr>
                <w:rFonts w:hint="eastAsia" w:hAnsi="仿宋_GB2312" w:cs="仿宋_GB2312"/>
                <w:b/>
                <w:bCs/>
                <w:color w:val="000000" w:themeColor="text1"/>
                <w:kern w:val="0"/>
                <w:sz w:val="32"/>
                <w:szCs w:val="32"/>
                <w:lang w:val="en-US" w:eastAsia="zh-CN" w:bidi="ar-SA"/>
                <w14:textFill>
                  <w14:solidFill>
                    <w14:schemeClr w14:val="tx1"/>
                  </w14:solidFill>
                </w14:textFill>
              </w:rPr>
              <w:t>看，</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随着广西社会经济的不断发展，市场交易量增加、产业结构逐步调整优化</w:t>
            </w:r>
            <w:r>
              <w:rPr>
                <w:rFonts w:hint="eastAsia" w:hAnsi="仿宋_GB2312" w:cs="仿宋_GB2312"/>
                <w:b w:val="0"/>
                <w:bCs w:val="0"/>
                <w:color w:val="000000" w:themeColor="text1"/>
                <w:kern w:val="0"/>
                <w:sz w:val="32"/>
                <w:szCs w:val="32"/>
                <w:lang w:val="en-US" w:eastAsia="zh-CN" w:bidi="ar-SA"/>
                <w14:textFill>
                  <w14:solidFill>
                    <w14:schemeClr w14:val="tx1"/>
                  </w14:solidFill>
                </w14:textFill>
              </w:rPr>
              <w:t>，</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对知识产权保护的需求也在增加，但一些传统制造业和农业领域仍然是侵权假冒犯罪的高发区。</w:t>
            </w:r>
            <w:r>
              <w:rPr>
                <w:rFonts w:hint="eastAsia" w:hAnsi="仿宋_GB2312" w:cs="仿宋_GB2312"/>
                <w:b w:val="0"/>
                <w:bCs w:val="0"/>
                <w:color w:val="000000" w:themeColor="text1"/>
                <w:kern w:val="0"/>
                <w:sz w:val="32"/>
                <w:szCs w:val="32"/>
                <w:lang w:val="en-US" w:eastAsia="zh-CN" w:bidi="ar-SA"/>
                <w14:textFill>
                  <w14:solidFill>
                    <w14:schemeClr w14:val="tx1"/>
                  </w14:solidFill>
                </w14:textFill>
              </w:rPr>
              <w:t>需要政府出台</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政策支持</w:t>
            </w:r>
            <w:r>
              <w:rPr>
                <w:rFonts w:hint="eastAsia" w:hAnsi="仿宋_GB2312" w:cs="仿宋_GB2312"/>
                <w:b w:val="0"/>
                <w:bCs w:val="0"/>
                <w:color w:val="000000" w:themeColor="text1"/>
                <w:kern w:val="0"/>
                <w:sz w:val="32"/>
                <w:szCs w:val="32"/>
                <w:lang w:val="en-US" w:eastAsia="zh-CN" w:bidi="ar-SA"/>
                <w14:textFill>
                  <w14:solidFill>
                    <w14:schemeClr w14:val="tx1"/>
                  </w14:solidFill>
                </w14:textFill>
              </w:rPr>
              <w:t>、</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加强打击力度</w:t>
            </w:r>
            <w:r>
              <w:rPr>
                <w:rFonts w:hint="eastAsia" w:hAnsi="仿宋_GB2312" w:cs="仿宋_GB2312"/>
                <w:b w:val="0"/>
                <w:bCs w:val="0"/>
                <w:color w:val="000000" w:themeColor="text1"/>
                <w:kern w:val="0"/>
                <w:sz w:val="32"/>
                <w:szCs w:val="32"/>
                <w:lang w:val="en-US" w:eastAsia="zh-CN" w:bidi="ar-SA"/>
                <w14:textFill>
                  <w14:solidFill>
                    <w14:schemeClr w14:val="tx1"/>
                  </w14:solidFill>
                </w14:textFill>
              </w:rPr>
              <w:t>，满足</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社会经济发展</w:t>
            </w:r>
            <w:r>
              <w:rPr>
                <w:rFonts w:hint="eastAsia" w:hAnsi="仿宋_GB2312" w:cs="仿宋_GB2312"/>
                <w:b w:val="0"/>
                <w:bCs w:val="0"/>
                <w:color w:val="000000" w:themeColor="text1"/>
                <w:kern w:val="0"/>
                <w:sz w:val="32"/>
                <w:szCs w:val="32"/>
                <w:lang w:val="en-US" w:eastAsia="zh-CN" w:bidi="ar-SA"/>
                <w14:textFill>
                  <w14:solidFill>
                    <w14:schemeClr w14:val="tx1"/>
                  </w14:solidFill>
                </w14:textFill>
              </w:rPr>
              <w:t>和</w:t>
            </w:r>
            <w:r>
              <w:rPr>
                <w:rFonts w:hint="eastAsia" w:ascii="仿宋_GB2312" w:hAnsi="仿宋_GB2312" w:eastAsia="仿宋_GB2312" w:cs="仿宋_GB2312"/>
                <w:b w:val="0"/>
                <w:bCs w:val="0"/>
                <w:color w:val="000000" w:themeColor="text1"/>
                <w:kern w:val="0"/>
                <w:sz w:val="32"/>
                <w:szCs w:val="32"/>
                <w:lang w:val="en-US" w:eastAsia="zh-CN" w:bidi="ar-SA"/>
                <w14:textFill>
                  <w14:solidFill>
                    <w14:schemeClr w14:val="tx1"/>
                  </w14:solidFill>
                </w14:textFill>
              </w:rPr>
              <w:t>区域与国际合作对知识产权保护的需求</w:t>
            </w:r>
            <w:r>
              <w:rPr>
                <w:rFonts w:hint="eastAsia" w:hAnsi="仿宋_GB2312" w:cs="仿宋_GB2312"/>
                <w:b w:val="0"/>
                <w:bCs w:val="0"/>
                <w:color w:val="000000" w:themeColor="text1"/>
                <w:kern w:val="0"/>
                <w:sz w:val="32"/>
                <w:szCs w:val="32"/>
                <w:lang w:val="en-US" w:eastAsia="zh-CN" w:bidi="ar-SA"/>
                <w14:textFill>
                  <w14:solidFill>
                    <w14:schemeClr w14:val="tx1"/>
                  </w14:solidFill>
                </w14:textFill>
              </w:rPr>
              <w:t>。</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leftChars="200" w:right="0" w:rightChars="0" w:firstLine="320" w:firstLineChars="100"/>
              <w:textAlignment w:val="auto"/>
              <w:outlineLvl w:val="9"/>
              <w:rPr>
                <w:rFonts w:hint="eastAsia" w:ascii="Times New Roman" w:hAnsi="Times New Roman" w:eastAsia="黑体" w:cs="Times New Roman"/>
                <w:b w:val="0"/>
                <w:bCs w:val="0"/>
                <w:color w:val="000000" w:themeColor="text1"/>
                <w:sz w:val="32"/>
                <w:szCs w:val="32"/>
                <w:lang w:eastAsia="zh-CN"/>
                <w14:textFill>
                  <w14:solidFill>
                    <w14:schemeClr w14:val="tx1"/>
                  </w14:solidFill>
                </w14:textFill>
              </w:rPr>
            </w:pPr>
            <w:r>
              <w:rPr>
                <w:rFonts w:hint="eastAsia" w:ascii="Times New Roman" w:hAnsi="Times New Roman" w:eastAsia="黑体" w:cs="Times New Roman"/>
                <w:b w:val="0"/>
                <w:bCs w:val="0"/>
                <w:color w:val="000000" w:themeColor="text1"/>
                <w:sz w:val="32"/>
                <w:szCs w:val="32"/>
                <w:lang w:eastAsia="zh-CN"/>
                <w14:textFill>
                  <w14:solidFill>
                    <w14:schemeClr w14:val="tx1"/>
                  </w14:solidFill>
                </w14:textFill>
              </w:rPr>
              <w:t>三、主要工作情况</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eastAsia="zh-CN"/>
                <w14:textFill>
                  <w14:solidFill>
                    <w14:schemeClr w14:val="tx1"/>
                  </w14:solidFill>
                </w14:textFill>
              </w:rPr>
              <w:t>（一）党委政府高度重视。</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党委政府高度重视知识产权保护工作，成立自治区知识产权战略实施工作厅际联席办、自治区双打办（打击侵犯知识产权和制售假劣犯罪）、质量强桂办、消费者权益保护联席办等议事机构，不断健全完善法律法规、行政刑事执法、审判与仲裁、教育与培训、技术手段建设、社会监督和宣传推广等多维度保护措施，特别针对广西本地知识产权的保护制定出台了一系列工作措施，统筹政府相关部门各司其职、联动协作开展知识产权保护工作</w:t>
            </w:r>
            <w:r>
              <w:rPr>
                <w:rFonts w:hint="eastAsia" w:ascii="仿宋_GB2312" w:hAnsi="仿宋_GB2312" w:eastAsia="仿宋_GB2312" w:cs="仿宋_GB2312"/>
                <w:color w:val="000000" w:themeColor="text1"/>
                <w:sz w:val="32"/>
                <w:szCs w:val="32"/>
                <w14:textFill>
                  <w14:solidFill>
                    <w14:schemeClr w14:val="tx1"/>
                  </w14:solidFill>
                </w14:textFill>
              </w:rPr>
              <w:t>。</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eastAsia="zh-CN"/>
                <w14:textFill>
                  <w14:solidFill>
                    <w14:schemeClr w14:val="tx1"/>
                  </w14:solidFill>
                </w14:textFill>
              </w:rPr>
              <w:t>（二）加大打击整治力度。</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近年来，全区公安机关认真贯彻落实公安部和自治区党委政府有关加强知识产权保护的工作部署，把严厉打击侵犯知识产权和制售伪劣商品犯罪作为每年重点工作，常态化组织</w:t>
            </w:r>
            <w:r>
              <w:rPr>
                <w:rFonts w:hint="eastAsia" w:ascii="Times New Roman"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昆仑</w:t>
            </w:r>
            <w:r>
              <w:rPr>
                <w:rFonts w:hint="eastAsia" w:ascii="Times New Roman" w:cs="Times New Roman"/>
                <w:color w:val="000000" w:themeColor="text1"/>
                <w:kern w:val="2"/>
                <w:sz w:val="32"/>
                <w:szCs w:val="32"/>
                <w:lang w:val="en-US" w:eastAsia="zh-CN" w:bidi="ar-SA"/>
                <w14:textFill>
                  <w14:solidFill>
                    <w14:schemeClr w14:val="tx1"/>
                  </w14:solidFill>
                </w14:textFill>
              </w:rPr>
              <w:t>”等一系列的</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专项行动开展部署打击，</w:t>
            </w:r>
            <w:r>
              <w:rPr>
                <w:rFonts w:hint="eastAsia" w:eastAsia="仿宋_GB2312" w:cs="Times New Roman"/>
                <w:color w:val="000000" w:themeColor="text1"/>
                <w:kern w:val="2"/>
                <w:sz w:val="32"/>
                <w:szCs w:val="32"/>
                <w:lang w:val="en-US" w:eastAsia="zh-CN" w:bidi="ar-SA"/>
                <w14:textFill>
                  <w14:solidFill>
                    <w14:schemeClr w14:val="tx1"/>
                  </w14:solidFill>
                </w14:textFill>
              </w:rPr>
              <w:t>其中</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有针对性地开展</w:t>
            </w:r>
            <w:r>
              <w:rPr>
                <w:rFonts w:hint="eastAsia" w:hAnsi="仿宋_GB2312" w:cs="仿宋_GB2312"/>
                <w:b w:val="0"/>
                <w:bCs w:val="0"/>
                <w:color w:val="000000" w:themeColor="text1"/>
                <w:sz w:val="32"/>
                <w:szCs w:val="32"/>
                <w:lang w:eastAsia="zh-CN"/>
                <w14:textFill>
                  <w14:solidFill>
                    <w14:schemeClr w14:val="tx1"/>
                  </w14:solidFill>
                </w14:textFill>
              </w:rPr>
              <w:t>了</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打击侵犯商业秘密犯罪的“安芯”专项行动，</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突出打击重点，依法严厉打击侵犯芯片制造、人工智能、机械电子、生物医药、新能源、新材料等高新技术企业商业秘密犯罪，特别是利用“木马”病毒等技术手段和卧底企业等方式窃取商业秘密行为。</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建立公安机关领导与本地重点企业实行定点帮扶联系制度，自治区、市、县成立三级工作专班，整合资源力量，强化行刑衔接，探索警企合作，提供线索来源，加强线索预警研判，突出大案攻坚和类案打击，取得显著战果：成功侦破多起涉及柳州螺蛳粉、丹泉酒、广西品牌凉粉、云南高端普洱茶、国际知名品牌运动服装、手表、国际奢侈品、高端防水涂料、假劣化肥、品牌润滑油、品牌日用品、品牌充电器、各类知名品牌高端烟酒、安宫牛黄丸、两轮电动车、医疗器械、盗版图书、名家名著、网络游戏等领域的侵权假冒伪劣系列大要案件，全链条打掉多个幕后犯罪团伙和生产窝点，对侵权假劣犯罪形成了有力震慑</w:t>
            </w:r>
            <w:r>
              <w:rPr>
                <w:rFonts w:hint="eastAsia" w:ascii="仿宋_GB2312" w:hAnsi="仿宋_GB2312" w:eastAsia="仿宋_GB2312" w:cs="仿宋_GB2312"/>
                <w:color w:val="000000" w:themeColor="text1"/>
                <w:sz w:val="32"/>
                <w:szCs w:val="32"/>
                <w14:textFill>
                  <w14:solidFill>
                    <w14:schemeClr w14:val="tx1"/>
                  </w14:solidFill>
                </w14:textFill>
              </w:rPr>
              <w:t>。</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eastAsia="仿宋_GB2312"/>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eastAsia="zh-CN"/>
                <w14:textFill>
                  <w14:solidFill>
                    <w14:schemeClr w14:val="tx1"/>
                  </w14:solidFill>
                </w14:textFill>
              </w:rPr>
              <w:t>（三）</w:t>
            </w:r>
            <w:r>
              <w:rPr>
                <w:rFonts w:hint="eastAsia" w:ascii="楷体_GB2312" w:hAnsi="楷体_GB2312" w:eastAsia="楷体_GB2312" w:cs="楷体_GB2312"/>
                <w:b w:val="0"/>
                <w:bCs w:val="0"/>
                <w:color w:val="000000" w:themeColor="text1"/>
                <w:sz w:val="32"/>
                <w:szCs w:val="32"/>
                <w:lang w:val="en-US" w:eastAsia="zh-CN"/>
                <w14:textFill>
                  <w14:solidFill>
                    <w14:schemeClr w14:val="tx1"/>
                  </w14:solidFill>
                </w14:textFill>
              </w:rPr>
              <w:t>提升专业能力、完善机制制度、深化大数据建设应用。</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广西贯彻落实“专业＋机制＋大数据”新型警务运行模式，在打击侵权假冒犯罪中扎实推进机制完善、部门协作、能力建设等重点工作，取得积极成效</w:t>
            </w:r>
            <w:r>
              <w:rPr>
                <w:rFonts w:hint="eastAsia" w:cs="Times New Roman"/>
                <w:snapToGrid w:val="0"/>
                <w:color w:val="000000" w:themeColor="text1"/>
                <w:kern w:val="0"/>
                <w:sz w:val="32"/>
                <w:szCs w:val="32"/>
                <w:lang w:val="en-US" w:eastAsia="zh-CN" w:bidi="ar-SA"/>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一是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五年来每年举办一期全区公安机关办理包括知识产权保护在内的食药环刑事案件能力提升培训班，提升了专业水平</w:t>
            </w:r>
            <w:r>
              <w:rPr>
                <w:rFonts w:hint="eastAsia" w:cs="Times New Roman"/>
                <w:color w:val="000000" w:themeColor="text1"/>
                <w:sz w:val="32"/>
                <w:szCs w:val="32"/>
                <w:lang w:eastAsia="zh-CN"/>
                <w14:textFill>
                  <w14:solidFill>
                    <w14:schemeClr w14:val="tx1"/>
                  </w14:solidFill>
                </w14:textFill>
              </w:rPr>
              <w:t>。</w:t>
            </w:r>
            <w:r>
              <w:rPr>
                <w:rFonts w:hint="eastAsia" w:eastAsia="仿宋_GB2312" w:cs="Times New Roman"/>
                <w:b/>
                <w:bCs/>
                <w:color w:val="000000" w:themeColor="text1"/>
                <w:sz w:val="32"/>
                <w:szCs w:val="32"/>
                <w:lang w:eastAsia="zh-CN"/>
                <w14:textFill>
                  <w14:solidFill>
                    <w14:schemeClr w14:val="tx1"/>
                  </w14:solidFill>
                </w14:textFill>
              </w:rPr>
              <w:t>二是</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积极组织民警参加跨警种跨部门专业联合培训，组织民警进驻网安战训基地并开通网安建模研判应用权限</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研究</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大数据建模</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探索专业带动</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，提升专业能力，目前，全区环食药侦部门186名民警已通过培训获得网络合成作战战训中心网安资源使用权限，专业研判能力不断提升、警种合成赋能基层不断强化</w:t>
            </w:r>
            <w:r>
              <w:rPr>
                <w:rFonts w:hint="eastAsia" w:ascii="Times New Roman" w:hAnsi="Times New Roman" w:cs="Times New Roman"/>
                <w:color w:val="000000" w:themeColor="text1"/>
                <w:sz w:val="32"/>
                <w:szCs w:val="32"/>
                <w:lang w:eastAsia="zh-CN"/>
                <w14:textFill>
                  <w14:solidFill>
                    <w14:schemeClr w14:val="tx1"/>
                  </w14:solidFill>
                </w14:textFill>
              </w:rPr>
              <w:t>。</w:t>
            </w:r>
            <w:r>
              <w:rPr>
                <w:rFonts w:hint="eastAsia" w:eastAsia="仿宋_GB2312" w:cs="Times New Roman"/>
                <w:b/>
                <w:bCs/>
                <w:color w:val="000000" w:themeColor="text1"/>
                <w:sz w:val="32"/>
                <w:szCs w:val="32"/>
                <w:lang w:eastAsia="zh-CN"/>
                <w14:textFill>
                  <w14:solidFill>
                    <w14:schemeClr w14:val="tx1"/>
                  </w14:solidFill>
                </w14:textFill>
              </w:rPr>
              <w:t>三是</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联合自治区市场监管局</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印发</w:t>
            </w:r>
            <w:r>
              <w:rPr>
                <w:rFonts w:hint="eastAsia" w:ascii="Times New Roman" w:hAnsi="Times New Roman" w:cs="Times New Roman"/>
                <w:color w:val="000000" w:themeColor="text1"/>
                <w:sz w:val="32"/>
                <w:szCs w:val="32"/>
                <w:lang w:eastAsia="zh-CN"/>
                <w14:textFill>
                  <w14:solidFill>
                    <w14:schemeClr w14:val="tx1"/>
                  </w14:solidFill>
                </w14:textFill>
              </w:rPr>
              <w:t>了</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《关于</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在全区市场监管领域推行行政执法与刑事司法实体化衔接工作</w:t>
            </w:r>
            <w:r>
              <w:rPr>
                <w:rFonts w:hint="default" w:ascii="Times New Roman" w:hAnsi="Times New Roman" w:eastAsia="仿宋_GB2312" w:cs="Times New Roman"/>
                <w:color w:val="000000" w:themeColor="text1"/>
                <w:sz w:val="32"/>
                <w:szCs w:val="32"/>
                <w:lang w:eastAsia="zh-CN"/>
                <w14:textFill>
                  <w14:solidFill>
                    <w14:schemeClr w14:val="tx1"/>
                  </w14:solidFill>
                </w14:textFill>
              </w:rPr>
              <w:t>的通知》</w:t>
            </w:r>
            <w:r>
              <w:rPr>
                <w:rFonts w:hint="eastAsia" w:ascii="Times New Roman" w:hAnsi="Times New Roman" w:cs="Times New Roman"/>
                <w:color w:val="000000" w:themeColor="text1"/>
                <w:sz w:val="32"/>
                <w:szCs w:val="32"/>
                <w:lang w:eastAsia="zh-CN"/>
                <w14:textFill>
                  <w14:solidFill>
                    <w14:schemeClr w14:val="tx1"/>
                  </w14:solidFill>
                </w14:textFill>
              </w:rPr>
              <w:t>、签署了《加强市场监管领域执法协作协议》，并</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联合自治区市场监管局</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等部门</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印发</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了</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《进一步加强市场监管领域监管执法司法协作的若干措施》，进一步加强市场监管部门与政法机关的执法协作，积极推动解决</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以罚代刑</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降格处理</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等问题。积极与检法机关加强沟通协调，及时解决案件定性、法律适用、证据规格等问题，确保执法质量和执法效果</w:t>
            </w:r>
            <w:r>
              <w:rPr>
                <w:rFonts w:eastAsia="仿宋_GB2312"/>
                <w:color w:val="000000" w:themeColor="text1"/>
                <w:sz w:val="32"/>
                <w:szCs w:val="32"/>
                <w14:textFill>
                  <w14:solidFill>
                    <w14:schemeClr w14:val="tx1"/>
                  </w14:solidFill>
                </w14:textFill>
              </w:rPr>
              <w:t>。</w:t>
            </w:r>
          </w:p>
          <w:p>
            <w:pPr>
              <w:pStyle w:val="16"/>
              <w:keepNext w:val="0"/>
              <w:keepLines w:val="0"/>
              <w:pageBreakBefore w:val="0"/>
              <w:widowControl w:val="0"/>
              <w:kinsoku/>
              <w:wordWrap/>
              <w:overflowPunct/>
              <w:topLinePunct w:val="0"/>
              <w:autoSpaceDE/>
              <w:autoSpaceDN/>
              <w:bidi w:val="0"/>
              <w:adjustRightInd w:val="0"/>
              <w:snapToGrid/>
              <w:spacing w:line="540" w:lineRule="exact"/>
              <w:ind w:left="0" w:leftChars="0" w:right="0" w:rightChars="0" w:firstLine="640" w:firstLineChars="200"/>
              <w:textAlignment w:val="auto"/>
              <w:outlineLvl w:val="9"/>
              <w:rPr>
                <w:rFonts w:hint="eastAsia" w:eastAsia="仿宋_GB2312"/>
                <w:color w:val="000000" w:themeColor="text1"/>
                <w:sz w:val="32"/>
                <w:szCs w:val="32"/>
                <w:lang w:eastAsia="zh-CN"/>
                <w14:textFill>
                  <w14:solidFill>
                    <w14:schemeClr w14:val="tx1"/>
                  </w14:solidFill>
                </w14:textFill>
              </w:rPr>
            </w:pPr>
            <w:r>
              <w:rPr>
                <w:rFonts w:hint="eastAsia" w:ascii="Times New Roman" w:eastAsia="黑体" w:cs="Times New Roman"/>
                <w:b w:val="0"/>
                <w:bCs w:val="0"/>
                <w:color w:val="000000" w:themeColor="text1"/>
                <w:sz w:val="32"/>
                <w:szCs w:val="32"/>
                <w:lang w:eastAsia="zh-CN"/>
                <w14:textFill>
                  <w14:solidFill>
                    <w14:schemeClr w14:val="tx1"/>
                  </w14:solidFill>
                </w14:textFill>
              </w:rPr>
              <w:t>四</w:t>
            </w:r>
            <w:r>
              <w:rPr>
                <w:rFonts w:hint="eastAsia" w:ascii="Times New Roman" w:hAnsi="Times New Roman" w:eastAsia="黑体" w:cs="Times New Roman"/>
                <w:b w:val="0"/>
                <w:bCs w:val="0"/>
                <w:color w:val="000000" w:themeColor="text1"/>
                <w:sz w:val="32"/>
                <w:szCs w:val="32"/>
                <w:lang w:eastAsia="zh-CN"/>
                <w14:textFill>
                  <w14:solidFill>
                    <w14:schemeClr w14:val="tx1"/>
                  </w14:solidFill>
                </w14:textFill>
              </w:rPr>
              <w:t>、</w:t>
            </w:r>
            <w:r>
              <w:rPr>
                <w:rFonts w:hint="eastAsia" w:ascii="Times New Roman" w:eastAsia="黑体" w:cs="Times New Roman"/>
                <w:b w:val="0"/>
                <w:bCs w:val="0"/>
                <w:color w:val="000000" w:themeColor="text1"/>
                <w:sz w:val="32"/>
                <w:szCs w:val="32"/>
                <w:lang w:val="en-US" w:eastAsia="zh-CN"/>
                <w14:textFill>
                  <w14:solidFill>
                    <w14:schemeClr w14:val="tx1"/>
                  </w14:solidFill>
                </w14:textFill>
              </w:rPr>
              <w:t>面临的突出问题及对策建议</w:t>
            </w:r>
          </w:p>
          <w:p>
            <w:pPr>
              <w:pStyle w:val="8"/>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eastAsia" w:ascii="仿宋_GB2312" w:hAnsi="仿宋_GB2312" w:eastAsia="仿宋_GB2312" w:cs="仿宋_GB2312"/>
                <w:color w:val="000000" w:themeColor="text1"/>
                <w:sz w:val="32"/>
                <w:szCs w:val="32"/>
                <w14:textFill>
                  <w14:solidFill>
                    <w14:schemeClr w14:val="tx1"/>
                  </w14:solidFill>
                </w14:textFill>
              </w:rPr>
            </w:pP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公安机关虽然在打击侵权假冒伪劣犯罪工作中取得了一定成效，但受制于专业机构体系不健全、信息化基础建设薄弱、沿海沿边区位特点等多方面主客观因素，侵权假冒伪劣犯罪形势仍然不容乐观，需要加强党委政府主导、多部门联动协作、综合施策、持续加强联合监管打击查处力度</w:t>
            </w:r>
            <w:r>
              <w:rPr>
                <w:rFonts w:hint="eastAsia" w:ascii="仿宋_GB2312" w:hAnsi="仿宋_GB2312" w:eastAsia="仿宋_GB2312" w:cs="仿宋_GB2312"/>
                <w:color w:val="000000" w:themeColor="text1"/>
                <w:sz w:val="32"/>
                <w:szCs w:val="32"/>
                <w14:textFill>
                  <w14:solidFill>
                    <w14:schemeClr w14:val="tx1"/>
                  </w14:solidFill>
                </w14:textFill>
              </w:rPr>
              <w:t>。</w:t>
            </w:r>
          </w:p>
          <w:p>
            <w:pPr>
              <w:pStyle w:val="8"/>
              <w:keepNext w:val="0"/>
              <w:keepLines w:val="0"/>
              <w:pageBreakBefore w:val="0"/>
              <w:widowControl w:val="0"/>
              <w:numPr>
                <w:ilvl w:val="0"/>
                <w:numId w:val="1"/>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eastAsia="zh-CN"/>
                <w14:textFill>
                  <w14:solidFill>
                    <w14:schemeClr w14:val="tx1"/>
                  </w14:solidFill>
                </w14:textFill>
              </w:rPr>
              <w:t>面临的突出问题。</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一是刑事打击效能有待提升。</w:t>
            </w:r>
            <w:r>
              <w:rPr>
                <w:rFonts w:hint="eastAsia" w:ascii="仿宋_GB2312" w:hAnsi="仿宋_GB2312" w:eastAsia="仿宋_GB2312" w:cs="仿宋_GB2312"/>
                <w:color w:val="000000" w:themeColor="text1"/>
                <w:sz w:val="32"/>
                <w:szCs w:val="32"/>
                <w:lang w:eastAsia="zh-CN"/>
                <w14:textFill>
                  <w14:solidFill>
                    <w14:schemeClr w14:val="tx1"/>
                  </w14:solidFill>
                </w14:textFill>
              </w:rPr>
              <w:t>广</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西公安知识产权犯罪侦查专业警种受体系不健全、人员力量薄弱、信息化能力支撑不足等因素制约，造成侵权假冒犯罪案件普遍</w:t>
            </w:r>
            <w:r>
              <w:rPr>
                <w:rFonts w:hint="eastAsia" w:eastAsia="仿宋_GB2312" w:cs="Times New Roman"/>
                <w:color w:val="000000" w:themeColor="text1"/>
                <w:kern w:val="2"/>
                <w:sz w:val="32"/>
                <w:szCs w:val="32"/>
                <w:lang w:val="en-US" w:eastAsia="zh-CN" w:bidi="ar-SA"/>
                <w14:textFill>
                  <w14:solidFill>
                    <w14:schemeClr w14:val="tx1"/>
                  </w14:solidFill>
                </w14:textFill>
              </w:rPr>
              <w:t>打不深、</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打</w:t>
            </w:r>
            <w:r>
              <w:rPr>
                <w:rFonts w:hint="eastAsia" w:eastAsia="仿宋_GB2312" w:cs="Times New Roman"/>
                <w:color w:val="000000" w:themeColor="text1"/>
                <w:kern w:val="2"/>
                <w:sz w:val="32"/>
                <w:szCs w:val="32"/>
                <w:lang w:val="en-US" w:eastAsia="zh-CN" w:bidi="ar-SA"/>
                <w14:textFill>
                  <w14:solidFill>
                    <w14:schemeClr w14:val="tx1"/>
                  </w14:solidFill>
                </w14:textFill>
              </w:rPr>
              <w:t>不透、打</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不到源头，犯罪打击效能亟待提升。分析以往侦办的案件，从中发现成功打掉幕后生产源头的案件占比不多，整体逮捕起诉率偏低；跨境销售假冒知名品牌商标类案件频发，海关部门主动发现并移交公安机关的线索成案率低；很多案件生产源头位于区外、境外，而且多采用现金交易模式，给公安机关案件侦办工作带来很大困难。</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公检法机关对有关司法解释、案件事实、证据规格和法律适用认识不一致</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在涉案价值认定上，对生产源头成本价值和市场售假非法所得的认定标准也不一致</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，导致历年来</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多起</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侵权假冒伪劣</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案件无法逮捕或直诉，严重削弱了公安机关刑事打击效能</w:t>
            </w:r>
            <w:r>
              <w:rPr>
                <w:rFonts w:hint="default" w:ascii="Times New Roman" w:hAnsi="Times New Roman" w:eastAsia="仿宋_GB2312" w:cs="Times New Roman"/>
                <w:color w:val="000000" w:themeColor="text1"/>
                <w:kern w:val="2"/>
                <w:sz w:val="32"/>
                <w:szCs w:val="24"/>
                <w:lang w:val="en-US" w:eastAsia="zh-CN" w:bidi="ar-SA"/>
                <w14:textFill>
                  <w14:solidFill>
                    <w14:schemeClr w14:val="tx1"/>
                  </w14:solidFill>
                </w14:textFill>
              </w:rPr>
              <w:t>。</w:t>
            </w:r>
            <w:r>
              <w:rPr>
                <w:rFonts w:hint="eastAsia" w:eastAsia="仿宋_GB2312" w:cs="Times New Roman"/>
                <w:color w:val="000000" w:themeColor="text1"/>
                <w:kern w:val="2"/>
                <w:sz w:val="32"/>
                <w:szCs w:val="24"/>
                <w:lang w:val="en-US" w:eastAsia="zh-CN" w:bidi="ar-SA"/>
                <w14:textFill>
                  <w14:solidFill>
                    <w14:schemeClr w14:val="tx1"/>
                  </w14:solidFill>
                </w14:textFill>
              </w:rPr>
              <w:t>二</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是侵权行为屡禁不止，维权难度大。</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侵犯企业商标、专利权的情况屡禁不止，恶意侵权、重复侵权的情况仍然存在，对企业的品牌建设和创新创造带来较大困扰，制约了企业品牌和产品质量的进一步提升。知识产权维权存在“周期长、成本高、赔偿低”的问题，特别是随着互联网的普及和网络交易平台迅速发展，知识产权犯罪网络化特征日益突出，使得维权变得更加困难</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三是涉案财物保管处置难和鉴定难。</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公安机关缺乏专业装备配备和快速检测能力，在对侵权假冒领域的部分重点类案中扣押的涉案物品进行保管、处置和检测时遇到保管难的现实问题。</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知识产权案件需要在专利技术、商标、著作权与版权、商业秘密等方面进行鉴定。目前存在鉴定机构和人员不足‌、鉴定意见的权威性和科学性不足‌、鉴定成本高时间长‌、技术问题复杂、证据保全和固定难度大‌、执法监管部门间‌协同配合不足等问题‌，全区暂无专项配套资金支撑，没有安排有专项鉴定经费财政预算，也没有商业秘密第三方鉴定机构，对商业秘密有效鉴定及立案侦办困难重重</w:t>
            </w:r>
            <w:r>
              <w:rPr>
                <w:rFonts w:hint="eastAsia" w:ascii="仿宋_GB2312" w:hAnsi="仿宋_GB2312" w:eastAsia="仿宋_GB2312" w:cs="仿宋_GB2312"/>
                <w:color w:val="000000" w:themeColor="text1"/>
                <w:sz w:val="32"/>
                <w:szCs w:val="32"/>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2020年来，全区公安机关立案侦办的侵犯商业秘密案件有13起、破案4起</w:t>
            </w:r>
            <w:r>
              <w:rPr>
                <w:rFonts w:hint="eastAsia" w:eastAsia="仿宋_GB2312" w:cs="Times New Roman"/>
                <w:color w:val="000000" w:themeColor="text1"/>
                <w:kern w:val="2"/>
                <w:sz w:val="32"/>
                <w:szCs w:val="32"/>
                <w:lang w:val="en-US" w:eastAsia="zh-CN" w:bidi="ar-SA"/>
                <w14:textFill>
                  <w14:solidFill>
                    <w14:schemeClr w14:val="tx1"/>
                  </w14:solidFill>
                </w14:textFill>
              </w:rPr>
              <w:t>，破案率30.77%，破案率较低</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侦办工作遇到的瓶颈主要集中体现在鉴定难，</w:t>
            </w:r>
            <w:r>
              <w:rPr>
                <w:rFonts w:hint="eastAsia" w:ascii="仿宋_GB2312" w:hAnsi="仿宋_GB2312" w:eastAsia="仿宋_GB2312" w:cs="仿宋_GB2312"/>
                <w:color w:val="000000" w:themeColor="text1"/>
                <w:sz w:val="32"/>
                <w:szCs w:val="32"/>
                <w:lang w:eastAsia="zh-CN"/>
                <w14:textFill>
                  <w14:solidFill>
                    <w14:schemeClr w14:val="tx1"/>
                  </w14:solidFill>
                </w14:textFill>
              </w:rPr>
              <w:t>如：</w:t>
            </w:r>
            <w:r>
              <w:rPr>
                <w:rFonts w:hint="default" w:ascii="Times New Roman" w:hAnsi="Times New Roman" w:eastAsia="仿宋_GB2312" w:cs="Times New Roman"/>
                <w:color w:val="000000" w:themeColor="text1"/>
                <w:sz w:val="32"/>
                <w:szCs w:val="32"/>
                <w:lang w:val="en-US" w:eastAsia="zh-CN"/>
                <w14:textFill>
                  <w14:solidFill>
                    <w14:schemeClr w14:val="tx1"/>
                  </w14:solidFill>
                </w14:textFill>
              </w:rPr>
              <w:t>2021</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年</w:t>
            </w:r>
            <w:r>
              <w:rPr>
                <w:rFonts w:hint="eastAsia" w:ascii="Times New Roman" w:hAnsi="Times New Roman" w:eastAsia="仿宋_GB2312" w:cs="Times New Roman"/>
                <w:color w:val="000000" w:themeColor="text1"/>
                <w:sz w:val="32"/>
                <w:szCs w:val="32"/>
                <w:lang w:val="en-US" w:eastAsia="zh-CN"/>
                <w14:textFill>
                  <w14:solidFill>
                    <w14:schemeClr w14:val="tx1"/>
                  </w14:solidFill>
                </w14:textFill>
              </w:rPr>
              <w:t>5月7</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日，南宁市公安局高新分局立案侦办的</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柳州源创</w:t>
            </w:r>
            <w:r>
              <w:rPr>
                <w:rFonts w:hint="eastAsia" w:eastAsia="仿宋_GB2312" w:cs="Times New Roman"/>
                <w:color w:val="000000" w:themeColor="text1"/>
                <w:kern w:val="2"/>
                <w:sz w:val="32"/>
                <w:szCs w:val="32"/>
                <w:lang w:val="en-US" w:eastAsia="zh-CN" w:bidi="ar-SA"/>
                <w14:textFill>
                  <w14:solidFill>
                    <w14:schemeClr w14:val="tx1"/>
                  </w14:solidFill>
                </w14:textFill>
              </w:rPr>
              <w:t>电喷技术有限</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公司被侵犯商业秘密案，</w:t>
            </w:r>
            <w:r>
              <w:rPr>
                <w:rFonts w:hint="eastAsia" w:eastAsia="仿宋_GB2312" w:cs="Times New Roman"/>
                <w:color w:val="000000" w:themeColor="text1"/>
                <w:kern w:val="2"/>
                <w:sz w:val="32"/>
                <w:szCs w:val="32"/>
                <w:lang w:val="en-US" w:eastAsia="zh-CN" w:bidi="ar-SA"/>
                <w14:textFill>
                  <w14:solidFill>
                    <w14:schemeClr w14:val="tx1"/>
                  </w14:solidFill>
                </w14:textFill>
              </w:rPr>
              <w:t>2024年10月公安机关将1名犯罪嫌疑人向人民检察院提请逮捕，但至今未批准，</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主要原因是：当事双方各自聘请的第三方商业秘密鉴定机构所做的鉴定意见相左，如办案部门再次聘请权威鉴定机构进行鉴定，费用高达百万元，而办案单位目前没有专项经费支付鉴定费用，且检察机关表示，即使进行了再次鉴定，也无法确定鉴定意见是否可以作为有效证据。</w:t>
            </w:r>
            <w:r>
              <w:rPr>
                <w:rFonts w:hint="eastAsia" w:ascii="仿宋_GB2312" w:hAnsi="仿宋_GB2312" w:eastAsia="仿宋_GB2312" w:cs="仿宋_GB2312"/>
                <w:b/>
                <w:bCs/>
                <w:color w:val="000000" w:themeColor="text1"/>
                <w:sz w:val="32"/>
                <w:szCs w:val="32"/>
                <w:lang w:eastAsia="zh-CN"/>
                <w14:textFill>
                  <w14:solidFill>
                    <w14:schemeClr w14:val="tx1"/>
                  </w14:solidFill>
                </w14:textFill>
              </w:rPr>
              <w:t>四是</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知识产权保护法治化滞后，行政执法与司法协调衔接仍需加强。</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随着新技术新业态的发展，知识产权保护法律法规立法滞后，现有法律法规针对性不够全面、针对性不强，难以适应新形势发展的需要。尽管各级公安和检法机关在打击侵犯知识产权犯罪方面取得了一定成效，但行政执法部门和司法机关的协调衔接仍需加强，需要进一步提高案件办理质效</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五是企业和社会公众对知识产权保护意识不强。</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很多企业在知识产权运用和保护方面还存在不足，维权意识不强，缺乏法制维权队伍，应对知识产权纠纷的经验不足，企业在国内外知识产权风险防范及纠纷应对能力还有待提高；社会公众对知识产权保护的重要性认识不够、防范能力不强；当前侵犯知识产权违法犯罪手段技术性较高、隐蔽性较强，短期内依然存在侵害企业和消费者合法权益的隐患</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p>
          <w:p>
            <w:pPr>
              <w:pStyle w:val="8"/>
              <w:keepNext w:val="0"/>
              <w:keepLines w:val="0"/>
              <w:pageBreakBefore w:val="0"/>
              <w:widowControl w:val="0"/>
              <w:numPr>
                <w:ilvl w:val="0"/>
                <w:numId w:val="1"/>
              </w:numPr>
              <w:kinsoku/>
              <w:wordWrap/>
              <w:overflowPunct/>
              <w:topLinePunct w:val="0"/>
              <w:autoSpaceDE/>
              <w:autoSpaceDN/>
              <w:bidi w:val="0"/>
              <w:adjustRightInd w:val="0"/>
              <w:snapToGrid/>
              <w:spacing w:line="540" w:lineRule="exact"/>
              <w:ind w:right="0" w:rightChars="0" w:firstLine="640" w:firstLineChars="200"/>
              <w:textAlignment w:val="auto"/>
              <w:outlineLvl w:val="9"/>
              <w:rPr>
                <w:rFonts w:hint="eastAsia" w:ascii="仿宋_GB2312" w:hAnsi="仿宋_GB2312" w:eastAsia="仿宋_GB2312" w:cs="仿宋_GB2312"/>
                <w:color w:val="000000" w:themeColor="text1"/>
                <w:sz w:val="32"/>
                <w:szCs w:val="32"/>
                <w:lang w:val="en-US" w:eastAsia="zh-CN"/>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val="en-US" w:eastAsia="zh-CN"/>
                <w14:textFill>
                  <w14:solidFill>
                    <w14:schemeClr w14:val="tx1"/>
                  </w14:solidFill>
                </w14:textFill>
              </w:rPr>
              <w:t>采取的对策。</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一是立法与政策支持。</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广西通过制定《广西壮族自治区知识产权保护和促进条例》，构建了全面覆盖知识产权创造、运用、保护、管理及服务的全链条综合保护体系。该条例不仅汲取了其他省份的成功经验，还结合了广西的区位优势和特点，增强了针对性和实效性。明确了县级以上人民政府应建立行政保护与司法保护、政府监管与行业自律、自我保护与社会共治相结合的知识产权保护体系。规范电子商务平台经营者及展会活动主办方的责任，要求这些主体承担相应的知识产权保护责任</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二是加强知识产权纠纷化解和完善维权机制。</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鼓励通过调解、仲裁等方式解决知识产权纠纷，并明确可以选聘技术调查官协助办理知识产权案件。推动建设知识产权保护中心和快速维权中心，推进知识产权快速审查、确权、维权。广西印发了《关于进一步规范广西知识产权维权援助工作的通知》，以提高知识产权维权援助业务能力和水平</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三是推进审判机制改革，加强执法协作，优化营商环境。</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完善知识产权民事、刑事、行政案件的“三合一”审判机制，以提高审判效率和效果。加强公安机关与行政部门、检察院、法院沟通协调，完善行刑衔接机制，强化执法司法协作，严厉打击整治知识产权领域的违法犯罪行为，切实保护广大企业及消费者合法权益</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四是强化保护和社会服务。</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加强对广西传统文化领域、民族特色、中医药、壮医药等领域的知识产权保护，关注互联网等新兴技术领域的知识产权保护。培育知识产权服务品牌，发展高附加值服务</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五是加强对外交流和国际区域合作。</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积极完善海外知识产权风险防控体系，推动与“一带一路”国家及东盟国家的知识产权交流合作，切实维护企业在境外市场的合法权益，不断提升对外开放合作水平</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w:t>
            </w:r>
          </w:p>
          <w:p>
            <w:pPr>
              <w:pStyle w:val="16"/>
              <w:keepNext w:val="0"/>
              <w:keepLines w:val="0"/>
              <w:pageBreakBefore w:val="0"/>
              <w:widowControl w:val="0"/>
              <w:numPr>
                <w:ilvl w:val="0"/>
                <w:numId w:val="1"/>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val="en-US" w:eastAsia="zh-CN"/>
                <w14:textFill>
                  <w14:solidFill>
                    <w14:schemeClr w14:val="tx1"/>
                  </w14:solidFill>
                </w14:textFill>
              </w:rPr>
              <w:t>建议。</w:t>
            </w:r>
            <w:r>
              <w:rPr>
                <w:rFonts w:hint="eastAsia" w:hAnsi="仿宋_GB2312" w:cs="仿宋_GB2312"/>
                <w:b/>
                <w:bCs/>
                <w:color w:val="000000" w:themeColor="text1"/>
                <w:sz w:val="32"/>
                <w:szCs w:val="32"/>
                <w:lang w:val="en-US" w:eastAsia="zh-CN"/>
                <w14:textFill>
                  <w14:solidFill>
                    <w14:schemeClr w14:val="tx1"/>
                  </w14:solidFill>
                </w14:textFill>
              </w:rPr>
              <w:t>一是加强</w:t>
            </w: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立法与政策支持。</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针对当前在一些经济发展新领域存在法律政策和国家标准制定滞后的情况，国家相关部委要研究制定相关法律法规和国家标准，并加强法律服务机构建设，切实解决掣肘监管执法司法的瓶颈难题。</w:t>
            </w:r>
            <w:r>
              <w:rPr>
                <w:rFonts w:hint="eastAsia" w:hAnsi="仿宋_GB2312" w:cs="仿宋_GB2312"/>
                <w:b/>
                <w:bCs/>
                <w:color w:val="000000" w:themeColor="text1"/>
                <w:sz w:val="32"/>
                <w:szCs w:val="32"/>
                <w:lang w:val="en-US" w:eastAsia="zh-CN"/>
                <w14:textFill>
                  <w14:solidFill>
                    <w14:schemeClr w14:val="tx1"/>
                  </w14:solidFill>
                </w14:textFill>
              </w:rPr>
              <w:t>二是</w:t>
            </w:r>
            <w:r>
              <w:rPr>
                <w:rFonts w:hint="default" w:ascii="仿宋_GB2312" w:hAnsi="仿宋_GB2312" w:eastAsia="仿宋_GB2312" w:cs="仿宋_GB2312"/>
                <w:b/>
                <w:bCs/>
                <w:color w:val="000000" w:themeColor="text1"/>
                <w:sz w:val="32"/>
                <w:szCs w:val="32"/>
                <w:lang w:val="en-US" w:eastAsia="zh-CN"/>
                <w14:textFill>
                  <w14:solidFill>
                    <w14:schemeClr w14:val="tx1"/>
                  </w14:solidFill>
                </w14:textFill>
              </w:rPr>
              <w:t>深化部门联动</w:t>
            </w:r>
            <w:r>
              <w:rPr>
                <w:rFonts w:hint="eastAsia" w:hAnsi="仿宋_GB2312" w:cs="仿宋_GB2312"/>
                <w:b/>
                <w:bCs/>
                <w:color w:val="000000" w:themeColor="text1"/>
                <w:sz w:val="32"/>
                <w:szCs w:val="32"/>
                <w:lang w:val="en-US" w:eastAsia="zh-CN"/>
                <w14:textFill>
                  <w14:solidFill>
                    <w14:schemeClr w14:val="tx1"/>
                  </w14:solidFill>
                </w14:textFill>
              </w:rPr>
              <w:t>，</w:t>
            </w:r>
            <w:r>
              <w:rPr>
                <w:rFonts w:hint="default" w:ascii="Times New Roman" w:hAnsi="Times New Roman" w:cs="Times New Roman"/>
                <w:b/>
                <w:bCs/>
                <w:color w:val="000000" w:themeColor="text1"/>
                <w:sz w:val="32"/>
                <w:szCs w:val="32"/>
                <w14:textFill>
                  <w14:solidFill>
                    <w14:schemeClr w14:val="tx1"/>
                  </w14:solidFill>
                </w14:textFill>
              </w:rPr>
              <w:t>健全</w:t>
            </w:r>
            <w:r>
              <w:rPr>
                <w:rFonts w:hint="eastAsia" w:ascii="Times New Roman" w:cs="Times New Roman"/>
                <w:b/>
                <w:bCs/>
                <w:color w:val="000000" w:themeColor="text1"/>
                <w:sz w:val="32"/>
                <w:szCs w:val="32"/>
                <w:lang w:eastAsia="zh-CN"/>
                <w14:textFill>
                  <w14:solidFill>
                    <w14:schemeClr w14:val="tx1"/>
                  </w14:solidFill>
                </w14:textFill>
              </w:rPr>
              <w:t>协作机制。</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完善</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公安机关</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与行政部门情报交流、数据共享、案件移送、联合执法等工作机制。健全公安与检察院、法院等司法部门研判会商机制，</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实现</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刑事案件快侦、快破、快捕、快判</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的目标</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，切实有效打击整治</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知识产权</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领域</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违法犯罪。</w:t>
            </w:r>
            <w:r>
              <w:rPr>
                <w:rFonts w:hint="eastAsia" w:hAnsi="仿宋_GB2312" w:cs="仿宋_GB2312"/>
                <w:b/>
                <w:bCs/>
                <w:color w:val="000000" w:themeColor="text1"/>
                <w:sz w:val="32"/>
                <w:szCs w:val="32"/>
                <w:lang w:val="en-US" w:eastAsia="zh-CN"/>
                <w14:textFill>
                  <w14:solidFill>
                    <w14:schemeClr w14:val="tx1"/>
                  </w14:solidFill>
                </w14:textFill>
              </w:rPr>
              <w:t>三是</w:t>
            </w:r>
            <w:r>
              <w:rPr>
                <w:rFonts w:hint="default" w:ascii="仿宋_GB2312" w:hAnsi="仿宋_GB2312" w:eastAsia="仿宋_GB2312" w:cs="仿宋_GB2312"/>
                <w:b/>
                <w:bCs/>
                <w:color w:val="000000" w:themeColor="text1"/>
                <w:sz w:val="32"/>
                <w:szCs w:val="32"/>
                <w:lang w:val="en-US" w:eastAsia="zh-CN"/>
                <w14:textFill>
                  <w14:solidFill>
                    <w14:schemeClr w14:val="tx1"/>
                  </w14:solidFill>
                </w14:textFill>
              </w:rPr>
              <w:t>深化</w:t>
            </w:r>
            <w:r>
              <w:rPr>
                <w:rFonts w:hint="eastAsia" w:hAnsi="仿宋_GB2312" w:cs="仿宋_GB2312"/>
                <w:b/>
                <w:bCs/>
                <w:color w:val="000000" w:themeColor="text1"/>
                <w:sz w:val="32"/>
                <w:szCs w:val="32"/>
                <w:lang w:val="en-US" w:eastAsia="zh-CN"/>
                <w14:textFill>
                  <w14:solidFill>
                    <w14:schemeClr w14:val="tx1"/>
                  </w14:solidFill>
                </w14:textFill>
              </w:rPr>
              <w:t>互联网大数据支撑</w:t>
            </w:r>
            <w:r>
              <w:rPr>
                <w:rFonts w:hint="default" w:ascii="仿宋_GB2312" w:hAnsi="仿宋_GB2312" w:eastAsia="仿宋_GB2312" w:cs="仿宋_GB2312"/>
                <w:b/>
                <w:bCs/>
                <w:color w:val="000000" w:themeColor="text1"/>
                <w:sz w:val="32"/>
                <w:szCs w:val="32"/>
                <w:lang w:val="en-US" w:eastAsia="zh-CN"/>
                <w14:textFill>
                  <w14:solidFill>
                    <w14:schemeClr w14:val="tx1"/>
                  </w14:solidFill>
                </w14:textFill>
              </w:rPr>
              <w:t>。</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公安机关</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应当</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与</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互联网、</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各大电商企业（阿里、腾讯、苏宁易购、拼多多等）</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和</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物流企业（顺丰、运满满、申通、德邦、邮政等）探索</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建立</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新型</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战略</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警企合作</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机制</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r>
              <w:rPr>
                <w:rFonts w:hint="eastAsia" w:ascii="Times New Roman" w:hAnsi="Times New Roman" w:eastAsia="仿宋_GB2312" w:cs="Times New Roman"/>
                <w:color w:val="000000" w:themeColor="text1"/>
                <w:kern w:val="2"/>
                <w:sz w:val="32"/>
                <w:szCs w:val="32"/>
                <w:lang w:val="en-US" w:eastAsia="zh-CN" w:bidi="ar-SA"/>
                <w14:textFill>
                  <w14:solidFill>
                    <w14:schemeClr w14:val="tx1"/>
                  </w14:solidFill>
                </w14:textFill>
              </w:rPr>
              <w:t>为打击违法犯罪提供数据支撑</w:t>
            </w:r>
            <w:r>
              <w:rPr>
                <w:rFonts w:hint="default" w:ascii="Times New Roman" w:hAnsi="Times New Roman" w:eastAsia="仿宋_GB2312" w:cs="Times New Roman"/>
                <w:color w:val="000000" w:themeColor="text1"/>
                <w:kern w:val="2"/>
                <w:sz w:val="32"/>
                <w:szCs w:val="32"/>
                <w:lang w:val="en-US" w:eastAsia="zh-CN" w:bidi="ar-SA"/>
                <w14:textFill>
                  <w14:solidFill>
                    <w14:schemeClr w14:val="tx1"/>
                  </w14:solidFill>
                </w14:textFill>
              </w:rPr>
              <w:t>。</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default" w:ascii="Times New Roman" w:hAnsi="Times New Roman" w:cs="Times New Roman"/>
                <w:color w:val="000000" w:themeColor="text1"/>
                <w:sz w:val="32"/>
                <w:szCs w:val="32"/>
                <w:lang w:eastAsia="zh-CN"/>
                <w14:textFill>
                  <w14:solidFill>
                    <w14:schemeClr w14:val="tx1"/>
                  </w14:solidFill>
                </w14:textFill>
              </w:rPr>
            </w:pP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default" w:ascii="Times New Roman" w:hAnsi="Times New Roman" w:cs="Times New Roman"/>
                <w:color w:val="000000" w:themeColor="text1"/>
                <w:sz w:val="32"/>
                <w:szCs w:val="32"/>
                <w:lang w:eastAsia="zh-CN"/>
                <w14:textFill>
                  <w14:solidFill>
                    <w14:schemeClr w14:val="tx1"/>
                  </w14:solidFill>
                </w14:textFill>
              </w:rPr>
            </w:pP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default" w:ascii="Times New Roman" w:hAnsi="Times New Roman" w:cs="Times New Roman"/>
                <w:color w:val="000000" w:themeColor="text1"/>
                <w:sz w:val="32"/>
                <w:szCs w:val="32"/>
                <w:lang w:eastAsia="zh-CN"/>
                <w14:textFill>
                  <w14:solidFill>
                    <w14:schemeClr w14:val="tx1"/>
                  </w14:solidFill>
                </w14:textFill>
              </w:rPr>
            </w:pP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right"/>
              <w:textAlignment w:val="auto"/>
              <w:outlineLvl w:val="9"/>
              <w:rPr>
                <w:rFonts w:hint="eastAsia" w:ascii="Times New Roman" w:cs="Times New Roman"/>
                <w:color w:val="000000" w:themeColor="text1"/>
                <w:sz w:val="32"/>
                <w:szCs w:val="32"/>
                <w:lang w:eastAsia="zh-CN"/>
                <w14:textFill>
                  <w14:solidFill>
                    <w14:schemeClr w14:val="tx1"/>
                  </w14:solidFill>
                </w14:textFill>
              </w:rPr>
            </w:pPr>
            <w:r>
              <w:rPr>
                <w:rFonts w:hint="eastAsia" w:ascii="Times New Roman" w:cs="Times New Roman"/>
                <w:color w:val="000000" w:themeColor="text1"/>
                <w:sz w:val="32"/>
                <w:szCs w:val="32"/>
                <w:lang w:eastAsia="zh-CN"/>
                <w14:textFill>
                  <w14:solidFill>
                    <w14:schemeClr w14:val="tx1"/>
                  </w14:solidFill>
                </w14:textFill>
              </w:rPr>
              <w:t>广西壮族自治区公安厅知识产权犯罪侦查总队</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4480" w:firstLineChars="1400"/>
              <w:jc w:val="both"/>
              <w:textAlignment w:val="auto"/>
              <w:outlineLvl w:val="9"/>
              <w:rPr>
                <w:rFonts w:hint="eastAsia" w:ascii="Times New Roman" w:cs="Times New Roman"/>
                <w:color w:val="000000" w:themeColor="text1"/>
                <w:sz w:val="32"/>
                <w:szCs w:val="32"/>
                <w:lang w:val="en-US" w:eastAsia="zh-CN"/>
                <w14:textFill>
                  <w14:solidFill>
                    <w14:schemeClr w14:val="tx1"/>
                  </w14:solidFill>
                </w14:textFill>
              </w:rPr>
            </w:pPr>
            <w:r>
              <w:rPr>
                <w:rFonts w:hint="eastAsia" w:ascii="Times New Roman" w:cs="Times New Roman"/>
                <w:color w:val="000000" w:themeColor="text1"/>
                <w:sz w:val="32"/>
                <w:szCs w:val="32"/>
                <w:lang w:val="en-US" w:eastAsia="zh-CN"/>
                <w14:textFill>
                  <w14:solidFill>
                    <w14:schemeClr w14:val="tx1"/>
                  </w14:solidFill>
                </w14:textFill>
              </w:rPr>
              <w:t>2025年3月27日</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eastAsia" w:ascii="Times New Roman" w:cs="Times New Roman"/>
                <w:color w:val="000000" w:themeColor="text1"/>
                <w:sz w:val="32"/>
                <w:szCs w:val="32"/>
                <w:lang w:val="en-US" w:eastAsia="zh-CN"/>
                <w14:textFill>
                  <w14:solidFill>
                    <w14:schemeClr w14:val="tx1"/>
                  </w14:solidFill>
                </w14:textFill>
              </w:rPr>
            </w:pPr>
            <w:r>
              <w:rPr>
                <w:rFonts w:hint="eastAsia" w:ascii="Times New Roman" w:cs="Times New Roman"/>
                <w:color w:val="000000" w:themeColor="text1"/>
                <w:sz w:val="32"/>
                <w:szCs w:val="32"/>
                <w:lang w:val="en-US" w:eastAsia="zh-CN"/>
                <w14:textFill>
                  <w14:solidFill>
                    <w14:schemeClr w14:val="tx1"/>
                  </w14:solidFill>
                </w14:textFill>
              </w:rPr>
              <w:t>（联系人及电话：冯振，0771-2266086，13036868378。）</w:t>
            </w: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eastAsia" w:ascii="Times New Roman" w:cs="Times New Roman"/>
                <w:color w:val="000000" w:themeColor="text1"/>
                <w:sz w:val="32"/>
                <w:szCs w:val="32"/>
                <w:lang w:val="en-US" w:eastAsia="zh-CN"/>
                <w14:textFill>
                  <w14:solidFill>
                    <w14:schemeClr w14:val="tx1"/>
                  </w14:solidFill>
                </w14:textFill>
              </w:rPr>
            </w:pPr>
          </w:p>
          <w:p>
            <w:pPr>
              <w:pStyle w:val="16"/>
              <w:keepNext w:val="0"/>
              <w:keepLines w:val="0"/>
              <w:pageBreakBefore w:val="0"/>
              <w:widowControl w:val="0"/>
              <w:numPr>
                <w:ilvl w:val="0"/>
                <w:numId w:val="0"/>
              </w:numPr>
              <w:kinsoku/>
              <w:wordWrap/>
              <w:overflowPunct/>
              <w:topLinePunct w:val="0"/>
              <w:autoSpaceDE/>
              <w:autoSpaceDN/>
              <w:bidi w:val="0"/>
              <w:adjustRightInd w:val="0"/>
              <w:snapToGrid/>
              <w:spacing w:line="540" w:lineRule="exact"/>
              <w:ind w:right="0" w:rightChars="0" w:firstLine="640" w:firstLineChars="200"/>
              <w:jc w:val="both"/>
              <w:textAlignment w:val="auto"/>
              <w:outlineLvl w:val="9"/>
              <w:rPr>
                <w:rFonts w:hint="default" w:ascii="Times New Roman" w:cs="Times New Roman"/>
                <w:color w:val="000000" w:themeColor="text1"/>
                <w:sz w:val="32"/>
                <w:szCs w:val="32"/>
                <w:lang w:val="en-US" w:eastAsia="zh-CN"/>
                <w14:textFill>
                  <w14:solidFill>
                    <w14:schemeClr w14:val="tx1"/>
                  </w14:solidFill>
                </w14:textFill>
              </w:rPr>
            </w:pPr>
          </w:p>
          <w:p>
            <w:pPr>
              <w:pStyle w:val="8"/>
              <w:keepNext w:val="0"/>
              <w:keepLines w:val="0"/>
              <w:pageBreakBefore w:val="0"/>
              <w:widowControl w:val="0"/>
              <w:kinsoku/>
              <w:wordWrap/>
              <w:overflowPunct/>
              <w:topLinePunct w:val="0"/>
              <w:autoSpaceDE/>
              <w:autoSpaceDN/>
              <w:bidi w:val="0"/>
              <w:spacing w:line="540" w:lineRule="exact"/>
              <w:textAlignment w:val="auto"/>
            </w:pPr>
          </w:p>
        </w:tc>
      </w:tr>
    </w:tbl>
    <w:p>
      <w:pPr>
        <w:keepNext w:val="0"/>
        <w:keepLines w:val="0"/>
        <w:pageBreakBefore w:val="0"/>
        <w:widowControl w:val="0"/>
        <w:kinsoku/>
        <w:wordWrap/>
        <w:overflowPunct/>
        <w:topLinePunct w:val="0"/>
        <w:autoSpaceDE/>
        <w:autoSpaceDN/>
        <w:bidi w:val="0"/>
        <w:spacing w:line="540" w:lineRule="exact"/>
        <w:textAlignment w:val="auto"/>
      </w:pPr>
    </w:p>
    <w:p>
      <w:pPr>
        <w:keepNext w:val="0"/>
        <w:keepLines w:val="0"/>
        <w:pageBreakBefore w:val="0"/>
        <w:widowControl w:val="0"/>
        <w:kinsoku/>
        <w:wordWrap/>
        <w:overflowPunct/>
        <w:topLinePunct w:val="0"/>
        <w:autoSpaceDE/>
        <w:autoSpaceDN/>
        <w:bidi w:val="0"/>
        <w:spacing w:line="540" w:lineRule="exact"/>
        <w:textAlignment w:val="auto"/>
      </w:pPr>
      <w:bookmarkStart w:id="1" w:name="_GoBack"/>
      <w:bookmarkEnd w:id="1"/>
    </w:p>
    <w:sectPr>
      <w:footerReference r:id="rId3" w:type="default"/>
      <w:pgSz w:w="11906" w:h="16838"/>
      <w:pgMar w:top="2098" w:right="1474" w:bottom="1984" w:left="1587" w:header="851" w:footer="992" w:gutter="0"/>
      <w:pgNumType w:fmt="decimal"/>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w:pict>
        <v:shape id="_x0000_s2049" o:spid="_x0000_s2049" o:spt="202" type="#_x0000_t202" style="position:absolute;left:0pt;margin-top:0pt;height:144pt;width:144pt;mso-position-horizontal:outside;mso-position-horizontal-relative:margin;mso-wrap-style:none;z-index:251658240;mso-width-relative:page;mso-height-relative:page;" filled="f" stroked="f" coordsize="21600,21600">
          <v:path/>
          <v:fill on="f" focussize="0,0"/>
          <v:stroke on="f"/>
          <v:imagedata o:title=""/>
          <o:lock v:ext="edit" aspectratio="f"/>
          <v:textbox inset="0mm,0mm,0mm,0mm" style="mso-fit-shape-to-text:t;">
            <w:txbxContent>
              <w:p>
                <w:pPr>
                  <w:pStyle w:val="2"/>
                  <w:rPr>
                    <w:rFonts w:hint="eastAsia" w:eastAsia="宋体"/>
                    <w:lang w:eastAsia="zh-CN"/>
                  </w:rPr>
                </w:pPr>
                <w:r>
                  <w:rPr>
                    <w:rFonts w:hint="eastAsia"/>
                    <w:lang w:eastAsia="zh-CN"/>
                  </w:rPr>
                  <w:t xml:space="preserve">— </w:t>
                </w:r>
                <w:r>
                  <w:rPr>
                    <w:rFonts w:hint="eastAsia"/>
                    <w:sz w:val="28"/>
                    <w:szCs w:val="28"/>
                    <w:lang w:eastAsia="zh-CN"/>
                  </w:rPr>
                  <w:fldChar w:fldCharType="begin"/>
                </w:r>
                <w:r>
                  <w:rPr>
                    <w:rFonts w:hint="eastAsia"/>
                    <w:sz w:val="28"/>
                    <w:szCs w:val="28"/>
                    <w:lang w:eastAsia="zh-CN"/>
                  </w:rPr>
                  <w:instrText xml:space="preserve"> PAGE  \* MERGEFORMAT </w:instrText>
                </w:r>
                <w:r>
                  <w:rPr>
                    <w:rFonts w:hint="eastAsia"/>
                    <w:sz w:val="28"/>
                    <w:szCs w:val="28"/>
                    <w:lang w:eastAsia="zh-CN"/>
                  </w:rPr>
                  <w:fldChar w:fldCharType="separate"/>
                </w:r>
                <w:r>
                  <w:rPr>
                    <w:rFonts w:hint="eastAsia"/>
                    <w:sz w:val="28"/>
                    <w:szCs w:val="28"/>
                    <w:lang w:eastAsia="zh-CN"/>
                  </w:rPr>
                  <w:t>1</w:t>
                </w:r>
                <w:r>
                  <w:rPr>
                    <w:rFonts w:hint="eastAsia"/>
                    <w:sz w:val="28"/>
                    <w:szCs w:val="28"/>
                    <w:lang w:eastAsia="zh-CN"/>
                  </w:rPr>
                  <w:fldChar w:fldCharType="end"/>
                </w:r>
                <w:r>
                  <w:rPr>
                    <w:rFonts w:hint="eastAsia"/>
                    <w:lang w:eastAsia="zh-CN"/>
                  </w:rPr>
                  <w:t xml:space="preserve"> —</w:t>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singleLevel"/>
    <w:tmpl w:val="0053208E"/>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rsids>
    <w:rsidRoot w:val="00B6629F"/>
    <w:rsid w:val="000C3DC8"/>
    <w:rsid w:val="000E152A"/>
    <w:rsid w:val="00115B2F"/>
    <w:rsid w:val="00126D94"/>
    <w:rsid w:val="00186A22"/>
    <w:rsid w:val="00430B61"/>
    <w:rsid w:val="006B0D3C"/>
    <w:rsid w:val="006D4B32"/>
    <w:rsid w:val="00731186"/>
    <w:rsid w:val="00751540"/>
    <w:rsid w:val="007F0750"/>
    <w:rsid w:val="00846C90"/>
    <w:rsid w:val="008510AB"/>
    <w:rsid w:val="009363DD"/>
    <w:rsid w:val="00B63821"/>
    <w:rsid w:val="00B6629F"/>
    <w:rsid w:val="00BC51E2"/>
    <w:rsid w:val="00C40B9C"/>
    <w:rsid w:val="00C54DE9"/>
    <w:rsid w:val="00C8214C"/>
    <w:rsid w:val="00DC5676"/>
    <w:rsid w:val="00E76C63"/>
    <w:rsid w:val="00EA7FF9"/>
    <w:rsid w:val="00F31082"/>
    <w:rsid w:val="00F81541"/>
    <w:rsid w:val="00FC7207"/>
    <w:rsid w:val="05710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tabs>
        <w:tab w:val="center" w:pos="4153"/>
        <w:tab w:val="right" w:pos="8306"/>
      </w:tabs>
      <w:snapToGrid w:val="0"/>
      <w:jc w:val="center"/>
    </w:pPr>
    <w:rPr>
      <w:sz w:val="18"/>
      <w:szCs w:val="18"/>
    </w:rPr>
  </w:style>
  <w:style w:type="character" w:customStyle="1" w:styleId="6">
    <w:name w:val="页眉 Char"/>
    <w:basedOn w:val="5"/>
    <w:link w:val="3"/>
    <w:uiPriority w:val="0"/>
    <w:rPr>
      <w:kern w:val="2"/>
      <w:sz w:val="18"/>
      <w:szCs w:val="18"/>
    </w:rPr>
  </w:style>
  <w:style w:type="character" w:customStyle="1" w:styleId="7">
    <w:name w:val="页脚 Char"/>
    <w:basedOn w:val="5"/>
    <w:link w:val="2"/>
    <w:uiPriority w:val="0"/>
    <w:rPr>
      <w:kern w:val="2"/>
      <w:sz w:val="18"/>
      <w:szCs w:val="18"/>
    </w:rPr>
  </w:style>
  <w:style w:type="paragraph" w:customStyle="1" w:styleId="8">
    <w:name w:val="NormalNormal"/>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9">
    <w:name w:val="Default Paragraph FontDefaultParagraphFont"/>
    <w:semiHidden/>
    <w:qFormat/>
    <w:uiPriority w:val="0"/>
  </w:style>
  <w:style w:type="table" w:customStyle="1" w:styleId="10">
    <w:name w:val="Normal TableTableNormal"/>
    <w:semiHidden/>
    <w:qFormat/>
    <w:uiPriority w:val="0"/>
    <w:tblPr>
      <w:tblCellMar>
        <w:top w:w="0" w:type="dxa"/>
        <w:left w:w="108" w:type="dxa"/>
        <w:bottom w:w="0" w:type="dxa"/>
        <w:right w:w="108" w:type="dxa"/>
      </w:tblCellMar>
    </w:tblPr>
  </w:style>
  <w:style w:type="paragraph" w:customStyle="1" w:styleId="11">
    <w:name w:val="Normal IndentNormalIndent"/>
    <w:basedOn w:val="8"/>
    <w:qFormat/>
    <w:uiPriority w:val="0"/>
    <w:pPr>
      <w:ind w:firstLine="420" w:firstLineChars="200"/>
    </w:pPr>
    <w:rPr>
      <w:rFonts w:ascii="Calibri" w:hAnsi="Calibri"/>
      <w:szCs w:val="24"/>
    </w:rPr>
  </w:style>
  <w:style w:type="paragraph" w:customStyle="1" w:styleId="12">
    <w:name w:val="FooterFooter"/>
    <w:basedOn w:val="8"/>
    <w:qFormat/>
    <w:uiPriority w:val="0"/>
    <w:pPr>
      <w:tabs>
        <w:tab w:val="center" w:pos="4153"/>
        <w:tab w:val="right" w:pos="8306"/>
      </w:tabs>
      <w:snapToGrid w:val="0"/>
      <w:jc w:val="left"/>
    </w:pPr>
    <w:rPr>
      <w:sz w:val="18"/>
    </w:rPr>
  </w:style>
  <w:style w:type="paragraph" w:customStyle="1" w:styleId="13">
    <w:name w:val="Normal (Web)Normal(Web)"/>
    <w:basedOn w:val="8"/>
    <w:qFormat/>
    <w:uiPriority w:val="99"/>
    <w:pPr>
      <w:widowControl/>
      <w:spacing w:before="100" w:beforeAutospacing="1" w:after="100" w:afterAutospacing="1"/>
      <w:jc w:val="left"/>
    </w:pPr>
    <w:rPr>
      <w:rFonts w:ascii="宋体" w:hAnsi="宋体" w:cs="宋体"/>
      <w:kern w:val="0"/>
      <w:sz w:val="24"/>
    </w:rPr>
  </w:style>
  <w:style w:type="paragraph" w:customStyle="1" w:styleId="14">
    <w:name w:v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Normal"/>
    <w:qFormat/>
    <w:uiPriority w:val="0"/>
    <w:pPr>
      <w:widowControl w:val="0"/>
      <w:jc w:val="both"/>
    </w:pPr>
    <w:rPr>
      <w:rFonts w:ascii="Calibri" w:hAnsi="Calibri" w:eastAsia="宋体" w:cs="Times New Roman"/>
      <w:kern w:val="2"/>
      <w:sz w:val="21"/>
      <w:szCs w:val="24"/>
      <w:lang w:val="en-US" w:eastAsia="zh-CN" w:bidi="ar-SA"/>
    </w:rPr>
  </w:style>
  <w:style w:type="paragraph" w:customStyle="1" w:styleId="15">
    <w:name w:val="NormalNormalNorm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
    <w:name w:val="样式1样式1"/>
    <w:basedOn w:val="17"/>
    <w:qFormat/>
    <w:uiPriority w:val="0"/>
    <w:pPr>
      <w:widowControl w:val="0"/>
      <w:ind w:firstLine="708" w:firstLineChars="236"/>
      <w:jc w:val="both"/>
    </w:pPr>
    <w:rPr>
      <w:rFonts w:ascii="仿宋_GB2312" w:hAnsi="Times New Roman" w:eastAsia="仿宋_GB2312" w:cs="仿宋_GB2312"/>
      <w:kern w:val="2"/>
      <w:sz w:val="30"/>
      <w:szCs w:val="30"/>
      <w:lang w:val="en-US" w:eastAsia="zh-CN" w:bidi="ar-SA"/>
    </w:rPr>
  </w:style>
  <w:style w:type="paragraph" w:customStyle="1" w:styleId="17">
    <w:name w:val="正文1正文1"/>
    <w:basedOn w:val="8"/>
    <w:qFormat/>
    <w:uiPriority w:val="0"/>
    <w:pPr>
      <w:ind w:firstLine="708" w:firstLineChars="236"/>
    </w:pPr>
    <w:rPr>
      <w:rFonts w:ascii="仿宋_GB2312" w:eastAsia="仿宋_GB2312" w:cs="仿宋_GB2312"/>
      <w:sz w:val="30"/>
      <w:szCs w:val="30"/>
    </w:rPr>
  </w:style>
  <w:style w:type="table" w:customStyle="1" w:styleId="18">
    <w:name w:val="Table GridTableGrid"/>
    <w:basedOn w:val="10"/>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35</Words>
  <Characters>206</Characters>
  <Lines>1</Lines>
  <Paragraphs>1</Paragraphs>
  <TotalTime>3</TotalTime>
  <ScaleCrop>false</ScaleCrop>
  <LinksUpToDate>false</LinksUpToDate>
  <CharactersWithSpaces>240</CharactersWithSpaces>
  <Application>WPS Office_11.8.2.8875_F1E327BC-269C-435d-A152-05C5408002CA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2022-07-28T08:07:00Z</dcterms:created>
  <dc:creator>admin</dc:creator>
  <cp:lastModifiedBy>环食药侦总队</cp:lastModifiedBy>
  <dcterms:modified xsi:type="dcterms:W3CDTF">2025-03-27T02:45:20Z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2052-11.8.2.8875</vt:lpwstr>
  </property>
</Properties>
</file>