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4CF8F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  <w:commentRangeStart w:id="0"/>
      <w:r>
        <w:rPr>
          <w:rFonts w:ascii="Times New Roman" w:hAnsi="Times New Roman" w:eastAsia="华文中宋"/>
          <w:b w:val="0"/>
          <w:color w:val="000000"/>
          <w:sz w:val="44"/>
        </w:rPr>
        <w:t>翊晨体育体测智能体</w:t>
      </w:r>
      <w:r>
        <w:rPr>
          <w:rFonts w:ascii="Times New Roman" w:hAnsi="Times New Roman" w:eastAsia="华文中宋"/>
          <w:b w:val="0"/>
          <w:color w:val="000000"/>
          <w:sz w:val="44"/>
        </w:rPr>
        <w:br w:type="textWrapping"/>
      </w:r>
      <w:r>
        <w:rPr>
          <w:rFonts w:ascii="Times New Roman" w:hAnsi="Times New Roman" w:eastAsia="华文中宋"/>
          <w:b w:val="0"/>
          <w:color w:val="000000"/>
          <w:sz w:val="44"/>
        </w:rPr>
        <w:t>设计与开发文档</w:t>
      </w:r>
      <w:commentRangeEnd w:id="0"/>
      <w:r>
        <w:commentReference w:id="0"/>
      </w:r>
    </w:p>
    <w:p w14:paraId="2FAAF01E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47B4942E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0AB12971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2626BC24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1ED511A0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659696F6">
      <w:pPr>
        <w:spacing w:before="0" w:after="360" w:line="640" w:lineRule="exact"/>
        <w:ind w:firstLine="0"/>
        <w:jc w:val="center"/>
        <w:rPr>
          <w:rFonts w:ascii="Times New Roman" w:hAnsi="Times New Roman" w:eastAsia="华文中宋"/>
          <w:b w:val="0"/>
          <w:color w:val="000000"/>
          <w:sz w:val="44"/>
        </w:rPr>
      </w:pPr>
    </w:p>
    <w:p w14:paraId="2B065A25">
      <w:pPr>
        <w:spacing w:before="0" w:after="0" w:line="560" w:lineRule="exact"/>
        <w:ind w:left="1020" w:right="0" w:firstLine="0"/>
        <w:jc w:val="left"/>
      </w:pPr>
      <w:r>
        <w:rPr>
          <w:rFonts w:ascii="Times New Roman" w:hAnsi="Times New Roman" w:eastAsia="黑体"/>
          <w:b w:val="0"/>
          <w:color w:val="000000"/>
          <w:sz w:val="32"/>
        </w:rPr>
        <w:t>智能体名称：</w:t>
      </w:r>
      <w:r>
        <w:rPr>
          <w:rFonts w:ascii="Times New Roman" w:hAnsi="Times New Roman" w:eastAsia="仿宋"/>
          <w:b w:val="0"/>
          <w:color w:val="000000"/>
          <w:sz w:val="32"/>
        </w:rPr>
        <w:t>翊晨体育体测指导智能体</w:t>
      </w:r>
    </w:p>
    <w:p w14:paraId="6A2F0724">
      <w:pPr>
        <w:spacing w:before="0" w:after="0" w:line="560" w:lineRule="exact"/>
        <w:ind w:left="1020" w:right="0" w:firstLine="0"/>
        <w:jc w:val="left"/>
      </w:pPr>
      <w:r>
        <w:rPr>
          <w:rFonts w:ascii="Times New Roman" w:hAnsi="Times New Roman" w:eastAsia="黑体"/>
          <w:b w:val="0"/>
          <w:color w:val="000000"/>
          <w:sz w:val="32"/>
        </w:rPr>
        <w:t>作品平台：</w:t>
      </w:r>
      <w:r>
        <w:rPr>
          <w:rFonts w:ascii="Times New Roman" w:hAnsi="Times New Roman" w:eastAsia="仿宋"/>
          <w:b w:val="0"/>
          <w:color w:val="000000"/>
          <w:sz w:val="32"/>
        </w:rPr>
        <w:t>桂教通</w:t>
      </w:r>
    </w:p>
    <w:p w14:paraId="75BAC2C6">
      <w:pPr>
        <w:spacing w:before="0" w:after="0" w:line="560" w:lineRule="exact"/>
        <w:ind w:left="1020" w:right="0" w:firstLine="0"/>
        <w:jc w:val="left"/>
        <w:rPr>
          <w:rFonts w:ascii="Times New Roman" w:hAnsi="Times New Roman" w:eastAsia="黑体"/>
          <w:b w:val="0"/>
          <w:color w:val="000000"/>
          <w:sz w:val="32"/>
        </w:rPr>
      </w:pPr>
      <w:r>
        <w:rPr>
          <w:rFonts w:ascii="Times New Roman" w:hAnsi="Times New Roman" w:eastAsia="黑体"/>
          <w:b w:val="0"/>
          <w:color w:val="000000"/>
          <w:sz w:val="32"/>
        </w:rPr>
        <w:t>智能体链接：</w:t>
      </w:r>
    </w:p>
    <w:p w14:paraId="21539AFD">
      <w:pPr>
        <w:spacing w:before="0" w:after="0" w:line="560" w:lineRule="exact"/>
        <w:ind w:left="1020" w:right="0" w:firstLine="0"/>
        <w:jc w:val="left"/>
        <w:rPr>
          <w:u w:val="none"/>
        </w:rPr>
      </w:pPr>
      <w:r>
        <w:rPr>
          <w:rFonts w:ascii="Times New Roman" w:hAnsi="Times New Roman" w:eastAsia="仿宋"/>
          <w:b w:val="0"/>
          <w:color w:val="000000"/>
          <w:sz w:val="24"/>
        </w:rPr>
        <w:t>https://agent.gjt</w:t>
      </w:r>
      <w:r>
        <w:rPr>
          <w:rFonts w:hint="eastAsia" w:ascii="Times New Roman" w:hAnsi="Times New Roman"/>
          <w:b w:val="0"/>
          <w:color w:val="000000"/>
          <w:sz w:val="24"/>
          <w:lang w:val="en-US" w:eastAsia="zh-CN"/>
        </w:rPr>
        <w:t>-</w:t>
      </w:r>
      <w:r>
        <w:rPr>
          <w:rFonts w:ascii="Times New Roman" w:hAnsi="Times New Roman" w:eastAsia="仿宋"/>
          <w:b w:val="0"/>
          <w:color w:val="000000"/>
          <w:sz w:val="24"/>
        </w:rPr>
        <w:t>smart.c</w:t>
      </w:r>
      <w:r>
        <w:rPr>
          <w:rFonts w:ascii="Times New Roman" w:hAnsi="Times New Roman" w:eastAsia="仿宋"/>
          <w:b w:val="0"/>
          <w:color w:val="000000"/>
          <w:sz w:val="24"/>
          <w:u w:val="none"/>
        </w:rPr>
        <w:t>om/chat/zeUX1FBBZpJnCcoF?appid=147d91c4-147c-435b-a3ba-243d6d1cdb79</w:t>
      </w:r>
    </w:p>
    <w:p w14:paraId="787C882C">
      <w:pPr>
        <w:spacing w:before="0" w:after="0" w:line="560" w:lineRule="exact"/>
        <w:ind w:left="1020" w:right="0" w:firstLine="0"/>
        <w:jc w:val="left"/>
        <w:rPr>
          <w:u w:val="none"/>
        </w:rPr>
      </w:pPr>
      <w:r>
        <w:rPr>
          <w:rFonts w:ascii="Times New Roman" w:hAnsi="Times New Roman" w:eastAsia="黑体"/>
          <w:b w:val="0"/>
          <w:color w:val="000000"/>
          <w:sz w:val="32"/>
          <w:u w:val="none"/>
        </w:rPr>
        <w:t>文档版本：</w:t>
      </w:r>
      <w:r>
        <w:rPr>
          <w:rFonts w:ascii="Times New Roman" w:hAnsi="Times New Roman" w:eastAsia="仿宋"/>
          <w:b w:val="0"/>
          <w:color w:val="000000"/>
          <w:sz w:val="32"/>
          <w:u w:val="none"/>
        </w:rPr>
        <w:t>V1.0</w:t>
      </w:r>
    </w:p>
    <w:p w14:paraId="4A9ACDDC">
      <w:pPr>
        <w:spacing w:before="0" w:after="0" w:line="560" w:lineRule="exact"/>
        <w:ind w:left="1020" w:right="0" w:firstLine="0"/>
        <w:jc w:val="left"/>
        <w:rPr>
          <w:u w:val="none"/>
        </w:rPr>
      </w:pPr>
      <w:r>
        <w:rPr>
          <w:rFonts w:ascii="Times New Roman" w:hAnsi="Times New Roman" w:eastAsia="黑体"/>
          <w:b w:val="0"/>
          <w:color w:val="000000"/>
          <w:sz w:val="32"/>
          <w:u w:val="none"/>
        </w:rPr>
        <w:t>编制日期：</w:t>
      </w:r>
      <w:r>
        <w:rPr>
          <w:rFonts w:ascii="Times New Roman" w:hAnsi="Times New Roman" w:eastAsia="仿宋"/>
          <w:b w:val="0"/>
          <w:color w:val="000000"/>
          <w:sz w:val="32"/>
          <w:u w:val="none"/>
        </w:rPr>
        <w:t>2026年8月27日</w:t>
      </w:r>
    </w:p>
    <w:p w14:paraId="3CB44B42">
      <w:r>
        <w:br w:type="page"/>
      </w:r>
    </w:p>
    <w:p w14:paraId="231D3D6F">
      <w:pPr>
        <w:pStyle w:val="4"/>
        <w:keepNext/>
        <w:spacing w:before="0" w:after="0" w:line="560" w:lineRule="exact"/>
        <w:ind w:left="317" w:right="0" w:firstLine="0"/>
        <w:jc w:val="both"/>
      </w:pPr>
      <w:commentRangeStart w:id="1"/>
      <w:r>
        <w:rPr>
          <w:rFonts w:ascii="Times New Roman" w:hAnsi="Times New Roman" w:eastAsia="黑体"/>
          <w:b w:val="0"/>
          <w:color w:val="000000"/>
          <w:sz w:val="32"/>
        </w:rPr>
        <w:t>一</w:t>
      </w:r>
      <w:r>
        <w:rPr>
          <w:rFonts w:hint="eastAsia" w:ascii="Times New Roman" w:hAnsi="Times New Roman" w:eastAsia="黑体"/>
          <w:b w:val="0"/>
          <w:color w:val="000000"/>
          <w:sz w:val="32"/>
          <w:lang w:eastAsia="zh-CN"/>
        </w:rPr>
        <w:t>、</w:t>
      </w:r>
      <w:r>
        <w:rPr>
          <w:rFonts w:ascii="Times New Roman" w:hAnsi="Times New Roman" w:eastAsia="黑体"/>
          <w:b w:val="0"/>
          <w:color w:val="000000"/>
          <w:sz w:val="32"/>
        </w:rPr>
        <w:t>功能说明</w:t>
      </w:r>
      <w:commentRangeEnd w:id="1"/>
      <w:r>
        <w:commentReference w:id="1"/>
      </w:r>
    </w:p>
    <w:p w14:paraId="703B3694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翊晨体育体测</w:t>
      </w:r>
      <w:r>
        <w:commentReference w:id="2"/>
      </w:r>
      <w:r>
        <w:rPr>
          <w:rFonts w:ascii="Times New Roman" w:hAnsi="Times New Roman" w:eastAsia="仿宋"/>
          <w:b w:val="0"/>
          <w:color w:val="000000"/>
          <w:sz w:val="32"/>
        </w:rPr>
        <w:t>指导智能体面向高校学生和体育教师，围绕引体向上、俯卧撑、仰卧起坐等体测项目，对已有的结构化体测结果进行解释，形成动作问题说明、训练建议和人工复核提示。其核心作用是把次数、动作状态和风险标记转换为学生能够理解、教师便于复核的教学反馈。</w:t>
      </w:r>
    </w:p>
    <w:p w14:paraId="70286CF4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智能体不承担视频解码、人体姿态识别和最终计分。相关数据由视频分析服务或人工录入环节提供，确定性成绩由既定计分规则生成；智能体只在输入结果的范围内进行解释，不修改识别次数和正式成绩，也不输出医疗诊断。</w:t>
      </w:r>
    </w:p>
    <w:p w14:paraId="7ECA0110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服务对象及其使用目标如下：</w:t>
      </w:r>
    </w:p>
    <w:p w14:paraId="1F7C870B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1. 学生通过智能体了解体测结果、无效或半程动作原因，并获得下一阶段的练习重点。</w:t>
      </w:r>
    </w:p>
    <w:p w14:paraId="77DAF554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2. 体育教师利用智能体查看异常说明、复核重点和评语参考，缩短整理反馈的时间。</w:t>
      </w:r>
    </w:p>
    <w:p w14:paraId="236D252D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3. 学校管理人员通过已脱敏的任务状态和异常记录了解体测反馈闭环，不接触模型不需要处理的个人敏感信息。</w:t>
      </w:r>
    </w:p>
    <w:p w14:paraId="16DE93FC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本作品针对的主要问题是：传统体测结果通常只呈现次数或分数，学生难以理解动作未被计入的原因；教师在连续测评中需要反复整理问题说明和训练意见；遮挡、低画质、多人入镜及输入信息不完整等情况还需要明确的人工复核边界。智能体以解释、建议和复核辅助连接识别结果与教学反馈，使结果能够被理解、复查和继续使用。</w:t>
      </w:r>
    </w:p>
    <w:p w14:paraId="04F20408">
      <w:pPr>
        <w:keepNext/>
        <w:spacing w:before="160" w:after="0"/>
        <w:ind w:firstLine="0"/>
        <w:jc w:val="center"/>
      </w:pPr>
      <w:r>
        <w:drawing>
          <wp:inline distT="0" distB="0" distL="114300" distR="114300">
            <wp:extent cx="5615940" cy="3164840"/>
            <wp:effectExtent l="0" t="0" r="10160" b="10160"/>
            <wp:docPr id="1" name="Picture 1" descr="服务对象经前置业务系统获得结构化体测结果，由翊晨体育体测指导智能体完成输入理解、知识匹配、结果解释、训练建议和复核触发，再输出结果说明、训练建议及教师复核重点；下方列明责任与安全边界。" title="翊晨体育体测智能体总体功能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服务对象经前置业务系统获得结构化体测结果，由翊晨体育体测指导智能体完成输入理解、知识匹配、结果解释、训练建议和复核触发，再输出结果说明、训练建议及教师复核重点；下方列明责任与安全边界。" title="翊晨体育体测智能体总体功能框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0E36">
      <w:pPr>
        <w:spacing w:before="60" w:after="16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翊晨体育体测智能体总体功能框架</w:t>
      </w:r>
    </w:p>
    <w:p w14:paraId="1AECCA5B">
      <w:pPr>
        <w:pStyle w:val="4"/>
        <w:keepNext/>
        <w:spacing w:before="0" w:after="0" w:line="560" w:lineRule="exact"/>
        <w:ind w:left="317" w:right="0" w:firstLine="0"/>
        <w:jc w:val="both"/>
      </w:pPr>
      <w:r>
        <w:rPr>
          <w:rFonts w:ascii="Times New Roman" w:hAnsi="Times New Roman" w:eastAsia="黑体"/>
          <w:b w:val="0"/>
          <w:color w:val="000000"/>
          <w:sz w:val="32"/>
        </w:rPr>
        <w:t>二</w:t>
      </w:r>
      <w:r>
        <w:rPr>
          <w:rFonts w:hint="eastAsia" w:ascii="Times New Roman" w:hAnsi="Times New Roman" w:eastAsia="黑体"/>
          <w:b w:val="0"/>
          <w:color w:val="000000"/>
          <w:sz w:val="32"/>
          <w:lang w:eastAsia="zh-CN"/>
        </w:rPr>
        <w:t>、</w:t>
      </w:r>
      <w:r>
        <w:rPr>
          <w:rFonts w:ascii="Times New Roman" w:hAnsi="Times New Roman" w:eastAsia="黑体"/>
          <w:b w:val="0"/>
          <w:color w:val="000000"/>
          <w:sz w:val="32"/>
        </w:rPr>
        <w:t>场景与工作流设计</w:t>
      </w:r>
    </w:p>
    <w:p w14:paraId="52D6C389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智能体用于体测结果生成后的解释环节。学生或教师输入体测项目及结构化结果，智能体识别项目类型、有效次数、无效或半程动作、动作问题和风险标记，再按照知识内容和输出约束生成反馈。</w:t>
      </w:r>
    </w:p>
    <w:p w14:paraId="6AA7DABA">
      <w:pPr>
        <w:keepNext/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核心工作流程如下：</w:t>
      </w:r>
    </w:p>
    <w:p w14:paraId="428683E9">
      <w:pPr>
        <w:keepNext/>
        <w:spacing w:before="160" w:after="0"/>
        <w:ind w:firstLine="0"/>
        <w:jc w:val="center"/>
      </w:pPr>
      <w:r>
        <w:drawing>
          <wp:inline distT="0" distB="0" distL="114300" distR="114300">
            <wp:extent cx="5615940" cy="3164840"/>
            <wp:effectExtent l="0" t="0" r="10160" b="10160"/>
            <wp:docPr id="2" name="Picture 2" descr="结构化结果依次经过字段完整性检查、项目知识匹配、结果解释和训练建议；字段缺失时请求补充或转人工复核，异常、冲突或低置信时提示教师复核，否则直接反馈。" title="场景交互与人工复核工作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结构化结果依次经过字段完整性检查、项目知识匹配、结果解释和训练建议；字段缺失时请求补充或转人工复核，异常、冲突或低置信时提示教师复核，否则直接反馈。" title="场景交互与人工复核工作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5504">
      <w:pPr>
        <w:spacing w:before="60" w:after="16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场景交互与人工复核工作流程</w:t>
      </w:r>
    </w:p>
    <w:p w14:paraId="62DFD1FF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1. 接收体测项目、动作次数、问题描述和风险标记等输入信息。</w:t>
      </w:r>
    </w:p>
    <w:p w14:paraId="298599F1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2. 检查关键字段是否完整，区分普通解释、训练建议和教师复核等任务意图。</w:t>
      </w:r>
    </w:p>
    <w:p w14:paraId="0B3A3016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3. 结合对应项目的动作要求和常见问题，对有效次数、无效动作及风险标记进行解释。</w:t>
      </w:r>
    </w:p>
    <w:p w14:paraId="37289C1A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4. 生成与问题对应的练习建议，说明训练重点和复测时应关注的动作环节。</w:t>
      </w:r>
    </w:p>
    <w:p w14:paraId="5B1A4469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5. 遇到低画质、遮挡、多人入镜、置信度不足、识别失败或输入相互矛盾时，不给出确定性结论，转为人工复核提示。</w:t>
      </w:r>
    </w:p>
    <w:p w14:paraId="0F2ED9F8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6. 为教师形成简洁、客观的复核重点和评语参考，由教师完成最终确认。</w:t>
      </w:r>
    </w:p>
    <w:p w14:paraId="293356BC">
      <w:pPr>
        <w:spacing w:before="0" w:after="0" w:line="560" w:lineRule="exact"/>
        <w:ind w:left="641" w:right="0" w:hanging="317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7. 向学生返回结果说明和训练方向，形成解释、训练、复测和复核相衔接的反馈闭环。</w:t>
      </w:r>
    </w:p>
    <w:p w14:paraId="57682250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工作流可概括为：结构化结果输入—字段检查—项目知识匹配—结果解释—训练建议—复核判断—反馈输出。桂教通平台内的智能体是作品的主要交互入口；独立演示前端只用于前期流程验证和演示录制辅助，不改变智能体的功能边界。</w:t>
      </w:r>
    </w:p>
    <w:p w14:paraId="48240EDD">
      <w:pPr>
        <w:pStyle w:val="4"/>
        <w:keepNext/>
        <w:spacing w:before="0" w:after="0" w:line="560" w:lineRule="exact"/>
        <w:ind w:left="317" w:right="0" w:firstLine="0"/>
        <w:jc w:val="both"/>
      </w:pPr>
      <w:r>
        <w:rPr>
          <w:rFonts w:ascii="Times New Roman" w:hAnsi="Times New Roman" w:eastAsia="黑体"/>
          <w:b w:val="0"/>
          <w:color w:val="000000"/>
          <w:sz w:val="32"/>
        </w:rPr>
        <w:t>三</w:t>
      </w:r>
      <w:r>
        <w:rPr>
          <w:rFonts w:hint="eastAsia" w:ascii="Times New Roman" w:hAnsi="Times New Roman" w:eastAsia="黑体"/>
          <w:b w:val="0"/>
          <w:color w:val="000000"/>
          <w:sz w:val="32"/>
          <w:lang w:eastAsia="zh-CN"/>
        </w:rPr>
        <w:t>、</w:t>
      </w:r>
      <w:r>
        <w:rPr>
          <w:rFonts w:ascii="Times New Roman" w:hAnsi="Times New Roman" w:eastAsia="黑体"/>
          <w:b w:val="0"/>
          <w:color w:val="000000"/>
          <w:sz w:val="32"/>
        </w:rPr>
        <w:t>能力配置说明</w:t>
      </w:r>
    </w:p>
    <w:p w14:paraId="5F0463BB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能力配置围绕结果解释、训练建议和复核辅助展开。角色提示词限定智能体的服务对象、表达方式和责任边界，要求其依据输入作答，不擅自补充动作次数、分数、评分阈值或医学结论。</w:t>
      </w:r>
    </w:p>
    <w:p w14:paraId="210BFD0F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输入理解能力负责识别体测项目和结构化字段，并检查信息之间是否存在缺失或冲突；结果解释能力把有效动作、无效动作、半程动作和风险标记转换为自然语言；训练建议能力根据问题类型给出可执行的练习方向；复核辅助能力在证据不足时转为教师确认；评语生成能力为教师提供客观、简洁的记录文本。</w:t>
      </w:r>
    </w:p>
    <w:p w14:paraId="7DBD3F58">
      <w:pPr>
        <w:keepNext/>
        <w:spacing w:before="0" w:after="0" w:line="400" w:lineRule="exact"/>
        <w:ind w:left="0" w:right="0" w:firstLine="0"/>
        <w:jc w:val="center"/>
      </w:pPr>
      <w:r>
        <w:rPr>
          <w:rFonts w:ascii="Times New Roman" w:hAnsi="Times New Roman" w:eastAsia="黑体"/>
          <w:b w:val="0"/>
          <w:color w:val="000000"/>
          <w:sz w:val="24"/>
        </w:rPr>
        <w:t>表1 核心能力与功能对应关系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64756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6343D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能力项</w:t>
            </w:r>
          </w:p>
        </w:tc>
        <w:tc>
          <w:tcPr>
            <w:tcW w:w="2268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32D5E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主要输入</w:t>
            </w:r>
          </w:p>
        </w:tc>
        <w:tc>
          <w:tcPr>
            <w:tcW w:w="2381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C3D3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处理内容</w:t>
            </w:r>
          </w:p>
        </w:tc>
        <w:tc>
          <w:tcPr>
            <w:tcW w:w="2721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7C20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输出及边界</w:t>
            </w:r>
          </w:p>
        </w:tc>
      </w:tr>
      <w:tr w14:paraId="74397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2B228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输入理解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7E396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项目类型、次数、问题与风险标记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A573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识别任务意图并检查关键字段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33D34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字段不足时请求补充，不推测缺失数据</w:t>
            </w:r>
          </w:p>
        </w:tc>
      </w:tr>
      <w:tr w14:paraId="3FED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E3841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结果解释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8A3A6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有效、无效及半程动作信息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1A826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说明结果含义和问题动作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182A5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不修改识别结果和正式成绩</w:t>
            </w:r>
          </w:p>
        </w:tc>
      </w:tr>
      <w:tr w14:paraId="7C06C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AF62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训练建议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65CDB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动作问题及解释结果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D3F34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匹配练习重点和复测关注点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E1B9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提供教学建议，不输出医疗诊断</w:t>
            </w:r>
          </w:p>
        </w:tc>
      </w:tr>
      <w:tr w14:paraId="0572C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AB88C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复核辅助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AF3E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低质量、遮挡、冲突或低置信信息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2C95D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识别需要人工确认的情况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C27F2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输出复核重点，由教师作最终判断</w:t>
            </w:r>
          </w:p>
        </w:tc>
      </w:tr>
      <w:tr w14:paraId="1F29C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128A9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评语生成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9D52A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已确认的体测结果与复核结论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9AC2D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整理客观、简洁的记录文本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6941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不覆盖原始记录和教师结论</w:t>
            </w:r>
          </w:p>
        </w:tc>
      </w:tr>
    </w:tbl>
    <w:p w14:paraId="620F8218">
      <w:pPr>
        <w:spacing w:before="0" w:after="0" w:line="360" w:lineRule="exact"/>
        <w:ind w:left="0" w:right="0" w:firstLine="0"/>
        <w:jc w:val="both"/>
      </w:pPr>
      <w:r>
        <w:rPr>
          <w:rFonts w:ascii="Times New Roman" w:hAnsi="Times New Roman" w:eastAsia="仿宋"/>
          <w:b w:val="0"/>
          <w:color w:val="000000"/>
          <w:sz w:val="21"/>
        </w:rPr>
        <w:t>注：依据本智能体功能说明和输入输出边界整理，不包含未经验证的模型指标。</w:t>
      </w:r>
    </w:p>
    <w:p w14:paraId="232AD8A7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输出采用固定的信息顺序：先说明体测结果，再解释主要问题，随后给出训练建议；需要复核时，单独列明触发原因和复核重点。该顺序便于学生阅读，也便于教师从输出中快速定位关键内容。</w:t>
      </w:r>
    </w:p>
    <w:p w14:paraId="33AFBC01">
      <w:pPr>
        <w:pStyle w:val="4"/>
        <w:keepNext/>
        <w:spacing w:before="0" w:after="0" w:line="560" w:lineRule="exact"/>
        <w:ind w:left="317" w:right="0" w:firstLine="0"/>
        <w:jc w:val="both"/>
      </w:pPr>
      <w:bookmarkStart w:id="0" w:name="_GoBack"/>
      <w:bookmarkEnd w:id="0"/>
      <w:r>
        <w:rPr>
          <w:rFonts w:ascii="Times New Roman" w:hAnsi="Times New Roman" w:eastAsia="黑体"/>
          <w:b w:val="0"/>
          <w:color w:val="000000"/>
          <w:sz w:val="32"/>
        </w:rPr>
        <w:t>四</w:t>
      </w:r>
      <w:r>
        <w:rPr>
          <w:rFonts w:hint="eastAsia" w:ascii="Times New Roman" w:hAnsi="Times New Roman" w:eastAsia="黑体"/>
          <w:b w:val="0"/>
          <w:color w:val="000000"/>
          <w:sz w:val="32"/>
          <w:lang w:eastAsia="zh-CN"/>
        </w:rPr>
        <w:t>、</w:t>
      </w:r>
      <w:r>
        <w:rPr>
          <w:rFonts w:ascii="Times New Roman" w:hAnsi="Times New Roman" w:eastAsia="黑体"/>
          <w:b w:val="0"/>
          <w:color w:val="000000"/>
          <w:sz w:val="32"/>
        </w:rPr>
        <w:t>知识库/数据集成说明</w:t>
      </w:r>
    </w:p>
    <w:p w14:paraId="419FA413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智能体使用的知识内容围绕三类体测项目组织，分为动作要求、常见错误、风险标记解释、训练建议和教师复核规则。知识内容用于解释输入结果和约束建议范围，不替代视频识别算法及正式计分规则。</w:t>
      </w:r>
    </w:p>
    <w:p w14:paraId="19E7375F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动作要求描述引体向上、俯卧撑和仰卧起坐的基本动作环节；常见错误覆盖动作幅度不足、半程动作、身体晃动和姿态不稳定等现象；风险标记用于解释低画质、遮挡、多人入镜和识别失败等异常；训练建议与具体问题对应；教师复核规则用于判断哪些情况不能由智能体直接给出确定结论。</w:t>
      </w:r>
    </w:p>
    <w:p w14:paraId="265CE1AF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智能体以用户或业务服务提供的结构化结果为主要数据输入。调用顺序为：读取输入字段—检查异常与复核条件—匹配项目知识—生成结果解释和训练建议—执行输出边界校验。未在输入或知识内容中明确的次数、分数、评分阈值和标准版本不由模型自行补充。</w:t>
      </w:r>
    </w:p>
    <w:p w14:paraId="6A29584C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数据处理遵循最小必要原则。智能体完成解释任务时不需要接收姓名、人脸、学号和地理位置等身份信息；用于教师复核的原始视频由业务系统按权限管理，不作为大模型的直接输入。输出保留原始结果与复核结论的区分，便于后续追溯。</w:t>
      </w:r>
    </w:p>
    <w:p w14:paraId="144BC17F">
      <w:pPr>
        <w:keepNext/>
        <w:spacing w:before="160" w:after="0"/>
        <w:ind w:firstLine="0"/>
        <w:jc w:val="center"/>
      </w:pPr>
      <w:r>
        <w:drawing>
          <wp:inline distT="0" distB="0" distL="114300" distR="114300">
            <wp:extent cx="5615940" cy="3164840"/>
            <wp:effectExtent l="0" t="0" r="10160" b="10160"/>
            <wp:docPr id="3" name="Picture 3" descr="结构化体测结果、项目知识内容和角色安全约束共同进入智能体处理链，经读取字段、异常检查、项目匹配、内容生成和边界校验后，输出结果说明、训练建议和教师复核重点；原始视频及身份信息不直接进入模型。" title="能力配置与知识数据调用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结构化体测结果、项目知识内容和角色安全约束共同进入智能体处理链，经读取字段、异常检查、项目匹配、内容生成和边界校验后，输出结果说明、训练建议和教师复核重点；原始视频及身份信息不直接进入模型。" title="能力配置与知识数据调用关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F7B">
      <w:pPr>
        <w:spacing w:before="60" w:after="16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能力配置与知识数据调用关系</w:t>
      </w:r>
    </w:p>
    <w:p w14:paraId="2698BA92">
      <w:pPr>
        <w:keepNext/>
        <w:spacing w:before="160" w:after="0"/>
        <w:ind w:firstLine="0"/>
        <w:jc w:val="center"/>
      </w:pPr>
      <w:r>
        <w:drawing>
          <wp:inline distT="0" distB="0" distL="114300" distR="114300">
            <wp:extent cx="5615940" cy="3164840"/>
            <wp:effectExtent l="0" t="0" r="10160" b="10160"/>
            <wp:docPr id="4" name="Picture 4" descr="真实场景依次记录实际输入、平台原始输出和人工检查结果；证据完整时归档并形成可复查验证记录，证据不足时标记为未完成验证并补充材料，不回填结果。" title="应用验证与证据留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真实场景依次记录实际输入、平台原始输出和人工检查结果；证据完整时归档并形成可复查验证记录，证据不足时标记为未完成验证并补充材料，不回填结果。" title="应用验证与证据留存流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B803">
      <w:pPr>
        <w:spacing w:before="60" w:after="16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应用验证与证据留存流程</w:t>
      </w:r>
    </w:p>
    <w:p w14:paraId="7DCDFF75">
      <w:pPr>
        <w:keepNext/>
        <w:spacing w:before="0" w:after="0" w:line="400" w:lineRule="exact"/>
        <w:ind w:left="0" w:right="0" w:firstLine="0"/>
        <w:jc w:val="center"/>
      </w:pPr>
      <w:r>
        <w:rPr>
          <w:rFonts w:ascii="Times New Roman" w:hAnsi="Times New Roman" w:eastAsia="黑体"/>
          <w:b w:val="0"/>
          <w:color w:val="000000"/>
          <w:sz w:val="24"/>
        </w:rPr>
        <w:t>表2 验证场景与检查内容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577CF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D35E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验证场景</w:t>
            </w:r>
          </w:p>
        </w:tc>
        <w:tc>
          <w:tcPr>
            <w:tcW w:w="2324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95187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输入范围</w:t>
            </w:r>
          </w:p>
        </w:tc>
        <w:tc>
          <w:tcPr>
            <w:tcW w:w="2835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810B5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检查内容</w:t>
            </w:r>
          </w:p>
        </w:tc>
        <w:tc>
          <w:tcPr>
            <w:tcW w:w="1984" w:type="dxa"/>
            <w:tcBorders>
              <w:top w:val="single" w:color="000000" w:sz="14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CAFAD">
            <w:pPr>
              <w:spacing w:before="0" w:after="0" w:line="40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证据形式</w:t>
            </w:r>
          </w:p>
        </w:tc>
      </w:tr>
      <w:tr w14:paraId="114A6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A7CB0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正常解释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BF540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项目、次数和动作问题字段完整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5A023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结果含义明确，解释不改变原始次数和成绩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F4651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完整交互记录或截图</w:t>
            </w:r>
          </w:p>
        </w:tc>
      </w:tr>
      <w:tr w14:paraId="0D713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E0051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训练建议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B6C3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包含可识别的动作问题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1D85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建议与问题对应，表述具体且可执行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EEBB9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输入与原始输出记录</w:t>
            </w:r>
          </w:p>
        </w:tc>
      </w:tr>
      <w:tr w14:paraId="1CBA2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1A2EF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异常输入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414A8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字段缺失、冲突或识别失败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0C53A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不补造结论，提示补充信息或人工复核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CD8A4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异常交互记录</w:t>
            </w:r>
          </w:p>
        </w:tc>
      </w:tr>
      <w:tr w14:paraId="6BFCE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D1453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教师复核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60789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包含风险标记或复核结论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331EE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给出复核重点和客观评语，不替代教师确认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4" w:space="0"/>
              <w:right w:val="nil"/>
              <w:insideH w:val="nil"/>
              <w:insideV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FA65">
            <w:pPr>
              <w:spacing w:before="0" w:after="0" w:line="40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color w:val="000000"/>
                <w:sz w:val="24"/>
              </w:rPr>
              <w:t>教师复核记录</w:t>
            </w:r>
          </w:p>
        </w:tc>
      </w:tr>
    </w:tbl>
    <w:p w14:paraId="5DFF24A1">
      <w:pPr>
        <w:spacing w:before="0" w:after="0" w:line="360" w:lineRule="exact"/>
        <w:ind w:left="0" w:right="0" w:firstLine="0"/>
        <w:jc w:val="both"/>
      </w:pPr>
      <w:r>
        <w:rPr>
          <w:rFonts w:ascii="Times New Roman" w:hAnsi="Times New Roman" w:eastAsia="仿宋"/>
          <w:b w:val="0"/>
          <w:color w:val="000000"/>
          <w:sz w:val="21"/>
        </w:rPr>
        <w:t>注：本表规定验证范围，不填写未实际执行的测试结果。最终结果以平台交互记录和人工复核材料为准。</w:t>
      </w:r>
    </w:p>
    <w:p w14:paraId="08096953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截至2026年8月27日，文档所列智能体链接可以访问。该检查仅证明作品入口可打开，不等同于正常解释、异常处理和教师复核等核心功能已经全部通过验证。核心功能结论须以实际交互记录为依据。</w:t>
      </w:r>
    </w:p>
    <w:p w14:paraId="45E6716F">
      <w:pPr>
        <w:spacing w:before="0" w:after="0" w:line="560" w:lineRule="exact"/>
        <w:ind w:left="0" w:right="0" w:firstLine="641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验证结论只采用能够追溯到原始输入和输出的材料。正常场景重点检查解释是否准确对应输入，异常场景重点检查是否停止推测并提示复核，教师场景重点检查评语是否客观、简洁且保留最终确认权。后续加入截图时，仅记录实际出现的内容，不补写未发生的结果。</w:t>
      </w:r>
    </w:p>
    <w:sectPr>
      <w:footerReference r:id="rId7" w:type="default"/>
      <w:pgSz w:w="11906" w:h="16838"/>
      <w:pgMar w:top="2098" w:right="1474" w:bottom="1984" w:left="1587" w:header="850" w:footer="992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桔." w:date="2026-08-28T09:40:45Z" w:initials="">
    <w:p w14:paraId="1CD600DB">
      <w:pPr>
        <w:pStyle w:val="17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这个比赛创新说明占分比为20%我认为可以在哪个地方穿插一个创新亮点</w:t>
      </w:r>
    </w:p>
  </w:comment>
  <w:comment w:id="1" w:author="桔." w:date="2026-08-28T09:37:18Z" w:initials="">
    <w:p w14:paraId="0879A70C">
      <w:pPr>
        <w:pStyle w:val="17"/>
        <w:rPr>
          <w:rFonts w:hint="default" w:eastAsia="仿宋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为什么是二级标题，上面没有任何的一级标题</w:t>
      </w:r>
    </w:p>
  </w:comment>
  <w:comment w:id="2" w:author="桔." w:date="2026-08-28T09:38:05Z" w:initials="">
    <w:p w14:paraId="5C91DD63">
      <w:pPr>
        <w:pStyle w:val="17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这一板块可以加入智能体截图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D600DB" w15:done="0"/>
  <w15:commentEx w15:paraId="0879A70C" w15:done="0"/>
  <w15:commentEx w15:paraId="5C91DD6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46198">
    <w:pPr>
      <w:pStyle w:val="25"/>
      <w:ind w:firstLine="0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桔.">
    <w15:presenceInfo w15:providerId="WPS Office" w15:userId="4496772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863C1"/>
    <w:rsid w:val="34AE2AD0"/>
    <w:rsid w:val="351B426F"/>
    <w:rsid w:val="6E1A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2582</Words>
  <Characters>2694</Characters>
  <Lines>0</Lines>
  <Paragraphs>0</Paragraphs>
  <TotalTime>4</TotalTime>
  <ScaleCrop>false</ScaleCrop>
  <LinksUpToDate>false</LinksUpToDate>
  <CharactersWithSpaces>2710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方圆</cp:lastModifiedBy>
  <dcterms:modified xsi:type="dcterms:W3CDTF">2026-08-28T02:59:52Z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eyJoZGlkIjoiN2U1OTBiZmUzNzgzMWI5MmU0YzFmZDE3ZDdkZGNmMDUiLCJ1c2VySWQiOiIxNzM0NDU4MTg3In0=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F4B9F2B529D9412AA7A5CAA3D32CDEF9_12</vt:lpwstr>
  </property>
</Properties>
</file>