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Dott. Giuseppe Piccolo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Surgeon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Orthopedy e Traumatology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Codice Fiscale PCCGPP88C09A662J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Sir CALABRESE GIUSEPPE 2800                                                                      31/08/23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Analysis/ Conducive distortive trauma at right knee about 3 months ago with joint effusion followed by instability sensation.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MRI has been (visible bone edema at membrane and patella)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CD/ROM clotted and non aching;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no pain during palpation at medial femoral condyle and lateral femoral condyle of tibial plateau.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Anterior Drawer Test 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Lachman test +-; Cerulli test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Diagnosis/ Consequent distortion right knee with light anterior cross ligament and also osseous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Advised: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Dicloreum 150 mg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cap after dinner for 5 days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after, 1 cap for alternate days for 10 days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Niklod 200 mg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phial every 3 days for 1 month after 1 phial per week for 1 month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Physiokinesitherapy aimed at quadricep muscle recovery and strengthening, cycling, swimming, magnet therapy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New right knee high field MRI test in 2 months (possible surgery)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Italian Equivalent of National Insurance Number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