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Dott. Giuseppe Piccolo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Medico-Chirurgo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Ortopedia e Traumatologia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C.F. PCCGPP88C09A662J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 CALABRESE GIUSEPPE 2800                                                                      31/08/23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A/ Trauma contusivo distorsivo ginocchio dx circa 3 mesi fa con versamento articolare e successiva sensazione di instabilita'.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 in essere (marcato edema osseo cap. membrane e rotula)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CD/ROM coagulato e non dolente;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nessun dolore alla palpazione a livello del CFM e CFL dei piatti tibiali.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test cassetto anteriore 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Lachman test +-; test Cerulli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D/ Postumi distorsione ginocchio dx con lieve LCA ed anche osseo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consiglia: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Dicloreum 150 mg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cp dopo cena per 5 giorni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successivamente 1 cp a giorni alterni per 10 giorni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Niklod 200 mg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fiala ogni 3 giorni per 1 mese successivamente 1 fiala a settimana per 1 mese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Programma di FKT (Fisiokinesiterapia) finalizzato al recupero e potenziamento muscolare quadricipitale, cyclette, nuoto, magnetoterapia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Controllo tra 2 mesi con nuova RM ginocchio dx ad alto campo (eventuale intervento)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