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44A13">
      <w:pPr>
        <w:pStyle w:val="2"/>
        <w:numPr>
          <w:numId w:val="0"/>
        </w:numPr>
        <w:snapToGrid w:val="0"/>
        <w:spacing w:line="360" w:lineRule="exact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例一 、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某搜索系统中，该业务模块系统的重点工作如下：首先接受用搜索请求，其次进行查询理解，在多个数据集进行召回去重和粗排，接着进行精细排序，最后查询结果进行展示。</w:t>
      </w:r>
    </w:p>
    <w:p w14:paraId="25EAA587">
      <w:pPr>
        <w:pStyle w:val="2"/>
        <w:snapToGrid w:val="0"/>
        <w:spacing w:line="360" w:lineRule="exact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（1）绘制业务流程图。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打开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流程图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软件，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绘制搜索系统业务流程图。完成后截图保存，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命名为XGD3-00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_1.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png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5DCF1CD">
      <w:pPr>
        <w:pStyle w:val="2"/>
        <w:snapToGrid w:val="0"/>
        <w:spacing w:line="360" w:lineRule="exact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业务流程调研报告。通过调研发现，该业务模块还存在一些问题。例如，业务效果交叉以及效率低下，未能拓展搜索范围，没能对相关业务规则进行干预，并且不能对相关搜索模型进行反馈和优化。请根据以上情况，在word文件中撰写业务流程调研报告，包括业务模块、业务模块现状、企业业务需求内容。完成后将word文件保存，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命名为XGD3-00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doc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6566101">
      <w:pPr>
        <w:pStyle w:val="2"/>
        <w:snapToGrid w:val="0"/>
        <w:spacing w:line="360" w:lineRule="exact"/>
        <w:rPr>
          <w:rFonts w:ascii="Times New Roman" w:hAnsi="Times New Roman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（3）搜索系统业务优化流程。在原始业务流程图基础上，根据调研报告的描述，绘制搜索系统业务优化流程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。完成后截图保存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，命名为XGD3-00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_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png</w:t>
      </w: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299D2AA0">
      <w:pPr>
        <w:pStyle w:val="2"/>
        <w:snapToGrid w:val="0"/>
        <w:spacing w:line="360" w:lineRule="exact"/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答案：</w:t>
      </w:r>
    </w:p>
    <w:p w14:paraId="0D78F2C0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1）</w:t>
      </w:r>
    </w:p>
    <w:p w14:paraId="7405732F">
      <w:pPr>
        <w:jc w:val="center"/>
      </w:pPr>
      <w:r>
        <w:drawing>
          <wp:inline distT="0" distB="0" distL="114300" distR="114300">
            <wp:extent cx="1618615" cy="2684780"/>
            <wp:effectExtent l="0" t="0" r="698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0BE33"/>
    <w:p w14:paraId="532D6233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2）</w:t>
      </w:r>
    </w:p>
    <w:p w14:paraId="0F1D16CC">
      <w:r>
        <w:drawing>
          <wp:inline distT="0" distB="0" distL="114300" distR="114300">
            <wp:extent cx="5273675" cy="1289050"/>
            <wp:effectExtent l="0" t="0" r="1460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64FA"/>
    <w:p w14:paraId="1685C4AE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eastAsia="zh-CN"/>
        </w:rPr>
        <w:t>（</w:t>
      </w:r>
      <w:r>
        <w:rPr>
          <w:rFonts w:hint="eastAsia" w:ascii="仿宋" w:hAnsi="仿宋" w:eastAsia="仿宋" w:cs="仿宋"/>
          <w:lang w:val="en-US" w:eastAsia="zh-CN"/>
        </w:rPr>
        <w:t>3）</w:t>
      </w:r>
    </w:p>
    <w:p w14:paraId="14FF912E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365250" cy="3136265"/>
            <wp:effectExtent l="0" t="0" r="635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5AB1"/>
    <w:p w14:paraId="2D407F6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例二、某智公司计划开发一个智能垃圾分类系统，专门用于对塑料瓶的进行识别的“基于计算机视觉塑料瓶识别系统”，适用于社区、商场、学校等公共场所，助力环保合规与资源回收。</w:t>
      </w:r>
      <w:r>
        <w:rPr>
          <w:rFonts w:hint="eastAsia" w:ascii="仿宋" w:hAnsi="仿宋" w:eastAsia="仿宋" w:cs="仿宋"/>
          <w:sz w:val="24"/>
          <w:szCs w:val="24"/>
        </w:rPr>
        <w:t>作为项目负责人，请根据以下任务要求，完成试题并作答。</w:t>
      </w:r>
    </w:p>
    <w:p w14:paraId="56D73E7A">
      <w:pPr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1. </w:t>
      </w:r>
      <w:r>
        <w:rPr>
          <w:rFonts w:hint="eastAsia" w:ascii="仿宋" w:hAnsi="仿宋" w:eastAsia="仿宋" w:cs="仿宋"/>
          <w:sz w:val="24"/>
          <w:szCs w:val="24"/>
        </w:rPr>
        <w:t>系统需采集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大量塑料瓶的</w:t>
      </w:r>
      <w:r>
        <w:rPr>
          <w:rFonts w:hint="eastAsia" w:ascii="仿宋" w:hAnsi="仿宋" w:eastAsia="仿宋" w:cs="仿宋"/>
          <w:sz w:val="24"/>
          <w:szCs w:val="24"/>
        </w:rPr>
        <w:t>数据进行训练。请简述视觉数据处理的基本流程，并针对“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塑料瓶分类识别</w:t>
      </w:r>
      <w:r>
        <w:rPr>
          <w:rFonts w:hint="eastAsia" w:ascii="仿宋" w:hAnsi="仿宋" w:eastAsia="仿宋" w:cs="仿宋"/>
          <w:sz w:val="24"/>
          <w:szCs w:val="24"/>
        </w:rPr>
        <w:t>”任务制定数据清洗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规则</w:t>
      </w:r>
      <w:r>
        <w:rPr>
          <w:rFonts w:hint="eastAsia" w:ascii="仿宋" w:hAnsi="仿宋" w:eastAsia="仿宋" w:cs="仿宋"/>
          <w:sz w:val="24"/>
          <w:szCs w:val="24"/>
        </w:rPr>
        <w:t>和标注规范，同时说明上机操作过程中针对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本任务的</w:t>
      </w:r>
      <w:r>
        <w:rPr>
          <w:rFonts w:hint="eastAsia" w:ascii="仿宋" w:hAnsi="仿宋" w:eastAsia="仿宋" w:cs="仿宋"/>
          <w:sz w:val="24"/>
          <w:szCs w:val="24"/>
        </w:rPr>
        <w:t>数据标注规则（如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垃圾分类的类别</w:t>
      </w:r>
      <w:r>
        <w:rPr>
          <w:rFonts w:hint="eastAsia" w:ascii="仿宋" w:hAnsi="仿宋" w:eastAsia="仿宋" w:cs="仿宋"/>
          <w:sz w:val="24"/>
          <w:szCs w:val="24"/>
        </w:rPr>
        <w:t>等）。</w:t>
      </w:r>
    </w:p>
    <w:p w14:paraId="207FE774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 针对“塑料瓶分类识别系统”，请简述功能测试、性能测试、鲁棒性测试、安全性测试四种测试的具体测试方法。同时，运行q2.py程序利用测试平台执行性能与鲁棒性测试，计算准确率与召回率等指标，通过程序可自动计算准确率与召回率等指标，将程序结果进行截图。</w:t>
      </w:r>
    </w:p>
    <w:p w14:paraId="497C560E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 在实际测试中，塑料瓶分类识别系统</w:t>
      </w:r>
      <w:r>
        <w:rPr>
          <w:rFonts w:hint="eastAsia" w:ascii="仿宋" w:hAnsi="仿宋" w:eastAsia="仿宋" w:cs="仿宋"/>
          <w:sz w:val="24"/>
          <w:szCs w:val="24"/>
        </w:rPr>
        <w:t>预测模型的准确率和召回率均较低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，请说明可能的数据集问题，并提出相应的优化方案。</w:t>
      </w:r>
    </w:p>
    <w:p w14:paraId="4D05431C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4. 请简述塑料瓶分类识别系统测试报告应包含的主要内容，要求报告结构清晰、重点突出。</w:t>
      </w:r>
    </w:p>
    <w:p w14:paraId="2B181AB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</w:t>
      </w:r>
    </w:p>
    <w:p w14:paraId="45855433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数据处理基本流程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数据采集 → 数据清洗 → 数据标注 → 数据审核 → 数据质检 → 数据验收</w:t>
      </w:r>
    </w:p>
    <w:p w14:paraId="68824CA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0919A3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数据清洗规范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；</w:t>
      </w:r>
    </w:p>
    <w:p w14:paraId="34D9A43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剔除模糊、光照过暗或过曝的图像</w:t>
      </w:r>
    </w:p>
    <w:p w14:paraId="0E5544D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去除多种垃圾混合的图像</w:t>
      </w:r>
    </w:p>
    <w:p w14:paraId="1CBC3A4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统一视频格式和分辨率要求（例如分辨率在1080以上）</w:t>
      </w:r>
    </w:p>
    <w:p w14:paraId="7CF7CA9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F1324F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标注规则：</w:t>
      </w:r>
    </w:p>
    <w:p w14:paraId="167B6FF3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对垃圾进行多类别标注，塑料瓶和非塑料瓶</w:t>
      </w:r>
    </w:p>
    <w:p w14:paraId="79C9CDE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标注类别准确</w:t>
      </w:r>
    </w:p>
    <w:p w14:paraId="7522554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对遮挡区域进行精确标注</w:t>
      </w:r>
    </w:p>
    <w:p w14:paraId="61467BC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393D64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</w:t>
      </w:r>
    </w:p>
    <w:p w14:paraId="4A9A0228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具体测试方法：</w:t>
      </w:r>
    </w:p>
    <w:p w14:paraId="54353B3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功能测试：验证模型能否正确分类（如玻璃和透明塑料是否分类准确）</w:t>
      </w:r>
    </w:p>
    <w:p w14:paraId="3FE5331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性能测试：测试系统在处理高分辨率图像时的响应速度和内存占用情况</w:t>
      </w:r>
    </w:p>
    <w:p w14:paraId="4B6191F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鲁棒性测试：使用不同成像设备和条件下的数据，检验模型稳定性</w:t>
      </w:r>
    </w:p>
    <w:p w14:paraId="1D594314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安全性测试：检查系统对异常图像输入（如伪造数据、噪声攻击）的防护能力</w:t>
      </w:r>
    </w:p>
    <w:p w14:paraId="31B8401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9A2DAF4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上机操作：</w:t>
      </w:r>
    </w:p>
    <w:p w14:paraId="026839B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截图即可</w:t>
      </w:r>
    </w:p>
    <w:p w14:paraId="4287768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B4CA85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</w:t>
      </w:r>
    </w:p>
    <w:p w14:paraId="6C90FF8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数据集问题:</w:t>
      </w:r>
    </w:p>
    <w:p w14:paraId="1577333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数据量不足，搜集数据数量太少</w:t>
      </w:r>
    </w:p>
    <w:p w14:paraId="196AC554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标注不准确（比如玻璃和透明塑料）</w:t>
      </w:r>
    </w:p>
    <w:p w14:paraId="1C1B91A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类别不平衡：例如，彩色塑料瓶的数据集少</w:t>
      </w:r>
    </w:p>
    <w:p w14:paraId="630543D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数据多样性不足：不同场景覆盖不全</w:t>
      </w:r>
    </w:p>
    <w:p w14:paraId="036104F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优化方案：</w:t>
      </w:r>
    </w:p>
    <w:p w14:paraId="1791ADE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补充更多样本数据，特别是彩色塑料瓶的数据</w:t>
      </w:r>
    </w:p>
    <w:p w14:paraId="086A5A7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组织人员复核标注，确保数据准确</w:t>
      </w:r>
    </w:p>
    <w:p w14:paraId="223448B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DA7F8F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4.</w:t>
      </w:r>
    </w:p>
    <w:p w14:paraId="68D8C970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简述人工智能算法测试报告应包含的主要内容：</w:t>
      </w:r>
    </w:p>
    <w:p w14:paraId="6BF7A46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测试背景与目的： 说明测试的动机、时间、参与人员等</w:t>
      </w:r>
    </w:p>
    <w:p w14:paraId="0E0F4B6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测试对象与环境： 描述所测试的模型版本、硬件环境、测试平台设置等</w:t>
      </w:r>
    </w:p>
    <w:p w14:paraId="27E5B15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测试方法与指标： 列举采用的测试方法（功能、性能、鲁棒性等）及评价指标（准确率、召回率、响应时间等）</w:t>
      </w:r>
    </w:p>
    <w:p w14:paraId="567DA00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测试结果与问题分析： 展示测试数据、错误案例及可能原因，并提出改进建议</w:t>
      </w:r>
    </w:p>
    <w:p w14:paraId="6F94A9A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5F91B46">
      <w:pPr>
        <w:pStyle w:val="3"/>
        <w:keepNext w:val="0"/>
        <w:keepLines w:val="0"/>
        <w:suppressLineNumbers w:val="0"/>
        <w:spacing w:before="0" w:beforeAutospacing="0" w:after="0" w:afterAutospacing="0" w:line="360" w:lineRule="exac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例三、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某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“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农业病虫害识别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”系统项目中涉及以下四个环节，请分别完成下列任务：</w:t>
      </w:r>
    </w:p>
    <w:p w14:paraId="67D1BF45">
      <w:pPr>
        <w:pStyle w:val="3"/>
        <w:keepNext w:val="0"/>
        <w:keepLines w:val="0"/>
        <w:suppressLineNumbers w:val="0"/>
        <w:spacing w:before="0" w:beforeAutospacing="0" w:after="0" w:afterAutospacing="0" w:line="360" w:lineRule="exact"/>
        <w:ind w:left="0" w:right="0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简单网络设计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任务：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运行 q3_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.py 查看结果并截图。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该程序具有如下功能：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设计一个简单的卷积神经网络，用于“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农业病虫害识别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 xml:space="preserve">”系统识别。要求网络能够处理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56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×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56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彩色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图像，并输出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15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个类别（例如数字 0～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14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或其他相应类别）。代码中需完成 3 个 epoch 的训练，输出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每个 epoch 的平均损失和当前学习率（仅在未优化模型中显示当前学习率）。</w:t>
      </w:r>
    </w:p>
    <w:p w14:paraId="06491096">
      <w:pPr>
        <w:pStyle w:val="3"/>
        <w:spacing w:line="360" w:lineRule="exac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2.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模型优化与调整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任务：运行 q3_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.py 查看结果并截图。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该程序具有如下功能：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基于第 1 问的网络，进行模型的优化和调整。要求更换优化器为 Adam，并添加学习率调度器（例如每个 epoch 学习率衰减 0.9）。同样训练 3 个 epoch，并在每个 epoch 输出平均损失和当前学习率。</w:t>
      </w:r>
    </w:p>
    <w:p w14:paraId="611D6E18">
      <w:pPr>
        <w:pStyle w:val="3"/>
        <w:spacing w:line="360" w:lineRule="exac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3.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人工与智能的交互方式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任务：运行 q3_3.py 查看结果并截图。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该程序具有如下功能：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设计一个简单的交互程序，模拟模型的预测过程。程序不要求用户输入真实图片路径，而是直接使用虚拟数据（随机生成的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56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×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56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彩色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图像数据），调用预训练（或随机初始化）的模型，输出模拟识别结果（例如随机预测一个类别），以展示人工与系统的交互效果。</w:t>
      </w:r>
    </w:p>
    <w:p w14:paraId="7CAB368F">
      <w:pPr>
        <w:pStyle w:val="3"/>
        <w:spacing w:line="360" w:lineRule="exact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 xml:space="preserve">4.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知识库构建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任务：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 xml:space="preserve">运行 q3_4.py 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运行过程中根据程序运行提示，输入“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病虫害识别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”（不用输入双引号）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查看结果并截图。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构建一个简单的知识库，并设计一个查询接口。知识库内存储与“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 w:bidi="ar"/>
        </w:rPr>
        <w:t>智能垃圾识别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bidi="ar"/>
        </w:rPr>
        <w:t>”系统识别、模型优化、交互方式等相关的知识条目，程序接收用户输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入的查询关键词后，返回匹配的知识条目。</w:t>
      </w:r>
    </w:p>
    <w:p w14:paraId="732C658A">
      <w:pPr>
        <w:pStyle w:val="3"/>
        <w:spacing w:line="360" w:lineRule="exact"/>
        <w:rPr>
          <w:rFonts w:ascii="Times New Roman" w:hAnsi="Times New Roman" w:eastAsia="宋体" w:cs="Times New Roman"/>
          <w:b w:val="0"/>
          <w:bCs w:val="0"/>
          <w:sz w:val="21"/>
          <w:szCs w:val="21"/>
        </w:rPr>
      </w:pPr>
    </w:p>
    <w:p w14:paraId="153CB326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答案：</w:t>
      </w:r>
    </w:p>
    <w:p w14:paraId="7D05F608">
      <w:pPr>
        <w:pStyle w:val="3"/>
        <w:spacing w:line="360" w:lineRule="exact"/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1.</w:t>
      </w:r>
    </w:p>
    <w:p w14:paraId="0D7D53C8">
      <w:pPr>
        <w:rPr>
          <w:rFonts w:hint="eastAsia"/>
          <w:lang w:val="en-US" w:eastAsia="zh-CN"/>
        </w:rPr>
      </w:pPr>
    </w:p>
    <w:p w14:paraId="331C4A3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10100" cy="624840"/>
            <wp:effectExtent l="0" t="0" r="762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8E6C">
      <w:pPr>
        <w:numPr>
          <w:ilvl w:val="0"/>
          <w:numId w:val="1"/>
        </w:numPr>
        <w:rPr>
          <w:rFonts w:hint="default" w:eastAsia="等线"/>
          <w:lang w:val="en-US" w:eastAsia="zh-CN"/>
        </w:rPr>
      </w:pPr>
    </w:p>
    <w:p w14:paraId="23C4148F">
      <w:r>
        <w:drawing>
          <wp:inline distT="0" distB="0" distL="114300" distR="114300">
            <wp:extent cx="4625340" cy="647700"/>
            <wp:effectExtent l="0" t="0" r="7620" b="762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88CC"/>
    <w:p w14:paraId="64D15D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219B57D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1D58E8">
      <w:pPr>
        <w:numPr>
          <w:ilvl w:val="0"/>
          <w:numId w:val="0"/>
        </w:numPr>
      </w:pPr>
      <w:r>
        <w:drawing>
          <wp:inline distT="0" distB="0" distL="114300" distR="114300">
            <wp:extent cx="2019300" cy="434340"/>
            <wp:effectExtent l="0" t="0" r="762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C994">
      <w:pPr>
        <w:numPr>
          <w:ilvl w:val="0"/>
          <w:numId w:val="0"/>
        </w:numPr>
      </w:pPr>
    </w:p>
    <w:p w14:paraId="4A3AA3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527AD10B">
      <w:r>
        <w:drawing>
          <wp:inline distT="0" distB="0" distL="114300" distR="114300">
            <wp:extent cx="5272405" cy="680720"/>
            <wp:effectExtent l="0" t="0" r="635" b="508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B16E">
      <w:pPr>
        <w:rPr>
          <w:rFonts w:ascii="宋体" w:hAnsi="宋体" w:eastAsia="等线" w:cs="Times New Roman"/>
          <w:szCs w:val="22"/>
          <w:lang w:bidi="ar"/>
        </w:rPr>
      </w:pPr>
    </w:p>
    <w:p w14:paraId="6714EE66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 w:bidi="ar"/>
        </w:rPr>
        <w:t>例四、1.</w:t>
      </w:r>
      <w:r>
        <w:rPr>
          <w:rFonts w:hint="eastAsia" w:ascii="仿宋" w:hAnsi="仿宋" w:eastAsia="仿宋" w:cs="仿宋"/>
          <w:sz w:val="24"/>
          <w:szCs w:val="24"/>
          <w:lang w:bidi="ar"/>
        </w:rPr>
        <w:t>在word软件中简述培训方法选择的因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  <w:lang w:bidi="ar"/>
        </w:rPr>
        <w:t>素（至少三个），完成后保存为XGD3-003.doc。</w:t>
      </w:r>
    </w:p>
    <w:p w14:paraId="52DDDE77">
      <w:pPr>
        <w:rPr>
          <w:rFonts w:hint="eastAsia" w:ascii="仿宋" w:hAnsi="仿宋" w:eastAsia="仿宋" w:cs="仿宋"/>
          <w:sz w:val="24"/>
          <w:szCs w:val="24"/>
        </w:rPr>
      </w:pPr>
    </w:p>
    <w:p w14:paraId="5F5A8D61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答案：</w:t>
      </w:r>
    </w:p>
    <w:p w14:paraId="10494B17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(1)目标受众。不同的培训方法适用于不同层次和职位的培训对象，比如新员工培训管理者培训、一般员工技能提升培训等。</w:t>
      </w:r>
    </w:p>
    <w:p w14:paraId="683DD3C9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(2)培训内容。不同的培训方法适用于不同的培训内容。(3)培训时间。不同的培训方法需要不同长度时间的投入，需要考虑培训对象的时间安排。</w:t>
      </w:r>
    </w:p>
    <w:p w14:paraId="66484795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(4)培训费用。不同的培训方法费用不同，需要考虑培训预算以及培训对象的经济承受</w:t>
      </w:r>
    </w:p>
    <w:p w14:paraId="35DF1609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能力。</w:t>
      </w:r>
    </w:p>
    <w:p w14:paraId="518E9F89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(5)培训场地。不同的培训方法需要不同的场地条件，需要考虑场地设施和时间安排。</w:t>
      </w:r>
    </w:p>
    <w:p w14:paraId="6A909649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(6)培训方式。不同的培训方法有不同的培训方式，比如在线培训、面对面培训、集中培训等，需要根据培训目标、培训需要、培训对象的学习习惯进行选择。</w:t>
      </w:r>
    </w:p>
    <w:p w14:paraId="4719AE40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(7)培训效果。不同的培训方法对于不同的培训对象和培训目标的培训效果不同，需要根据实际情况选择。</w:t>
      </w:r>
    </w:p>
    <w:p w14:paraId="51B21D3F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</w:p>
    <w:p w14:paraId="38988A8B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</w:p>
    <w:p w14:paraId="737BD5D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 w:bidi="ar"/>
        </w:rPr>
        <w:t>2.</w:t>
      </w:r>
      <w:r>
        <w:rPr>
          <w:rFonts w:hint="eastAsia" w:ascii="仿宋" w:hAnsi="仿宋" w:eastAsia="仿宋" w:cs="仿宋"/>
          <w:sz w:val="24"/>
          <w:szCs w:val="24"/>
          <w:lang w:bidi="ar"/>
        </w:rPr>
        <w:t>在word软件中简述语音数据标注课程演示法的优缺点，完成后保存为XGD3-003.doc。</w:t>
      </w:r>
    </w:p>
    <w:p w14:paraId="4FDC1F09">
      <w:pPr>
        <w:pStyle w:val="2"/>
        <w:widowControl/>
        <w:snapToGrid w:val="0"/>
        <w:spacing w:line="360" w:lineRule="exact"/>
        <w:rPr>
          <w:rFonts w:hint="eastAsia" w:ascii="仿宋" w:hAnsi="仿宋" w:eastAsia="仿宋" w:cs="仿宋"/>
          <w:sz w:val="24"/>
          <w:szCs w:val="24"/>
        </w:rPr>
      </w:pPr>
    </w:p>
    <w:p w14:paraId="502AB2EA">
      <w:pPr>
        <w:pStyle w:val="2"/>
        <w:widowControl/>
        <w:snapToGrid w:val="0"/>
        <w:spacing w:line="360" w:lineRule="exact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答案：</w:t>
      </w:r>
    </w:p>
    <w:p w14:paraId="6297391B">
      <w:pPr>
        <w:pStyle w:val="2"/>
        <w:widowControl/>
        <w:snapToGrid w:val="0"/>
        <w:spacing w:line="360" w:lineRule="exact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ab/>
      </w:r>
      <w:r>
        <w:rPr>
          <w:rFonts w:hint="eastAsia" w:ascii="仿宋" w:hAnsi="仿宋" w:eastAsia="仿宋" w:cs="仿宋"/>
          <w:b/>
          <w:bCs/>
          <w:sz w:val="24"/>
          <w:szCs w:val="24"/>
        </w:rPr>
        <w:t>优点：</w:t>
      </w:r>
    </w:p>
    <w:p w14:paraId="52FF8662">
      <w:pPr>
        <w:pStyle w:val="2"/>
        <w:widowControl/>
        <w:snapToGrid w:val="0"/>
        <w:spacing w:line="360" w:lineRule="exac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有助于激发培训对象的学习兴趣；</w:t>
      </w:r>
    </w:p>
    <w:p w14:paraId="6EEA2F07">
      <w:pPr>
        <w:pStyle w:val="2"/>
        <w:widowControl/>
        <w:snapToGrid w:val="0"/>
        <w:spacing w:line="360" w:lineRule="exac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培训对象可利用多种感官，做到看、听、想、问相结合；</w:t>
      </w:r>
    </w:p>
    <w:p w14:paraId="1DC00FDC">
      <w:pPr>
        <w:pStyle w:val="2"/>
        <w:widowControl/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有利于培训对象获得感性知识，加深对所学内容的印象；</w:t>
      </w:r>
    </w:p>
    <w:p w14:paraId="23B160FF">
      <w:pPr>
        <w:pStyle w:val="2"/>
        <w:widowControl/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</w:p>
    <w:p w14:paraId="51C410D2">
      <w:pPr>
        <w:pStyle w:val="2"/>
        <w:widowControl/>
        <w:snapToGrid w:val="0"/>
        <w:spacing w:line="360" w:lineRule="exact"/>
        <w:ind w:firstLine="420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缺点：</w:t>
      </w:r>
    </w:p>
    <w:p w14:paraId="1C19576E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适用范围有限，不是所有的学习内容都能演示；</w:t>
      </w:r>
    </w:p>
    <w:p w14:paraId="6F40BB9D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演示装置移动不方便，不能适应培训场所临时变更；</w:t>
      </w:r>
    </w:p>
    <w:p w14:paraId="23998C87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演示前需要花一定的费用和精力做准备；</w:t>
      </w:r>
    </w:p>
    <w:p w14:paraId="6CB83AC0">
      <w:pPr>
        <w:pStyle w:val="2"/>
        <w:widowControl/>
        <w:tabs>
          <w:tab w:val="left" w:pos="5726"/>
        </w:tabs>
        <w:snapToGrid w:val="0"/>
        <w:spacing w:line="360" w:lineRule="exact"/>
        <w:ind w:firstLine="420"/>
      </w:pPr>
    </w:p>
    <w:p w14:paraId="2FD2715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思源黑體 香港 ExtraLight">
    <w:panose1 w:val="020B0200000000000000"/>
    <w:charset w:val="88"/>
    <w:family w:val="auto"/>
    <w:pitch w:val="default"/>
    <w:sig w:usb0="30000083" w:usb1="2BDF3C10" w:usb2="00000016" w:usb3="00000000" w:csb0="603A0107" w:csb1="00000000"/>
  </w:font>
  <w:font w:name="思源黑體 香港 Medium">
    <w:panose1 w:val="020B0600000000000000"/>
    <w:charset w:val="88"/>
    <w:family w:val="auto"/>
    <w:pitch w:val="default"/>
    <w:sig w:usb0="30000083" w:usb1="2BDF3C10" w:usb2="00000016" w:usb3="00000000" w:csb0="603A0107" w:csb1="00000000"/>
  </w:font>
  <w:font w:name="思源黑體 香港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思源黑體 香港 Heavy">
    <w:panose1 w:val="020B0A00000000000000"/>
    <w:charset w:val="88"/>
    <w:family w:val="auto"/>
    <w:pitch w:val="default"/>
    <w:sig w:usb0="30000083" w:usb1="2BDF3C10" w:usb2="00000016" w:usb3="00000000" w:csb0="603A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BCAFB"/>
    <w:multiLevelType w:val="singleLevel"/>
    <w:tmpl w:val="330BCAF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33"/>
    <w:rsid w:val="00740333"/>
    <w:rsid w:val="00B61C33"/>
    <w:rsid w:val="067A2570"/>
    <w:rsid w:val="1BC434B3"/>
    <w:rsid w:val="25974E44"/>
    <w:rsid w:val="2C395F5E"/>
    <w:rsid w:val="34A9723C"/>
    <w:rsid w:val="3A476634"/>
    <w:rsid w:val="43A3082D"/>
    <w:rsid w:val="673E5A37"/>
    <w:rsid w:val="6E53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Normal (Web)"/>
    <w:basedOn w:val="1"/>
    <w:qFormat/>
    <w:uiPriority w:val="99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5</Pages>
  <Words>347</Words>
  <Characters>396</Characters>
  <Lines>2</Lines>
  <Paragraphs>1</Paragraphs>
  <TotalTime>1</TotalTime>
  <ScaleCrop>false</ScaleCrop>
  <LinksUpToDate>false</LinksUpToDate>
  <CharactersWithSpaces>396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2025-05-12T03:19:00Z</dcterms:created>
  <dc:creator>Administrator</dc:creator>
  <cp:lastModifiedBy>赵聪</cp:lastModifiedBy>
  <dcterms:modified xsi:type="dcterms:W3CDTF">2025-06-20T15:31:55Z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eyJoZGlkIjoiMmVhODZkNTJiMjI2MTliYzhmMmJjYjg5MGU5MjM4Y2EiLCJ1c2VySWQiOiI0NTkzOTY0ODIifQ==</vt:lpwstr>
  </property>
  <property fmtid="{D5CDD505-2E9C-101B-9397-08002B2CF9AE}" pid="4" name="ICV">
    <vt:lpwstr>C59AFB36CE4848609B6F645FD706363A_13</vt:lpwstr>
  </property>
</Properties>
</file>