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41CF7F54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</w:p>
    <w:p w14:paraId="654200C6">
      <w:pPr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br w:type="page"/>
      </w:r>
    </w:p>
    <w:p w14:paraId="5AC4BAAC">
      <w:pPr>
        <w:spacing w:line="480" w:lineRule="auto"/>
        <w:rPr>
          <w:rFonts w:hint="eastAsia" w:ascii="仿宋_GB2312" w:eastAsia="仿宋_GB2312"/>
          <w:sz w:val="24"/>
          <w:szCs w:val="24"/>
        </w:rPr>
      </w:pPr>
    </w:p>
    <w:p w14:paraId="0E8239FD">
      <w:pPr>
        <w:rPr>
          <w:rFonts w:hint="eastAsia" w:ascii="仿宋_GB2312" w:eastAsia="仿宋_GB2312"/>
          <w:sz w:val="24"/>
          <w:szCs w:val="24"/>
        </w:rPr>
      </w:pP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BCF58A3"/>
    <w:rsid w:val="4D2D4416"/>
    <w:rsid w:val="4D9E02EC"/>
    <w:rsid w:val="502032F1"/>
    <w:rsid w:val="510775DF"/>
    <w:rsid w:val="51946277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2025-12-02T06:34:41Z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