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2024-12-08  tại căn nhà  </w:t>
      </w:r>
      <w:r>
        <w:rPr>
          <w:rFonts w:ascii="Times New Roman" w:hAnsi="Times New Roman" w:cs="Times New Roman"/>
          <w:sz w:val="24"/>
          <w:sz-cs w:val="24"/>
          <w:b/>
        </w:rPr>
        <w:t xml:space="preserve">Phòng Dãy A2</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adminAll</w:t>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Thuan1</w:t>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5 tại căn nhà số  Phòng Dãy A2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2024-12-08 </w:t>
      </w:r>
      <w:r>
        <w:rPr>
          <w:rFonts w:ascii="Times New Roman" w:hAnsi="Times New Roman" w:cs="Times New Roman"/>
          <w:sz w:val="24"/>
          <w:sz-cs w:val="24"/>
          <w:i/>
        </w:rPr>
        <w:t xml:space="preserve">- </w:t>
      </w:r>
      <w:r>
        <w:rPr>
          <w:rFonts w:ascii="Times New Roman" w:hAnsi="Times New Roman" w:cs="Times New Roman"/>
          <w:sz w:val="24"/>
          <w:sz-cs w:val="24"/>
          <w:b/>
          <w:i/>
        </w:rPr>
        <w:t xml:space="preserve">2024-12-15</w:t>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Thuan1                                                             adminAll</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