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color w:val="1F497D"/>
          <w:sz w:val="44"/>
        </w:rPr>
        <w:t>Kaggle狗品种识别</w:t>
      </w:r>
    </w:p>
    <w:p>
      <w:pPr>
        <w:jc w:val="center"/>
      </w:pPr>
      <w:r>
        <w:rPr>
          <w:rFonts w:ascii="Times New Roman" w:hAnsi="Times New Roman" w:eastAsia="宋体"/>
          <w:sz w:val="26"/>
        </w:rPr>
        <w:t>基于ResNet-50的迁移学习与注意力、多尺度、反馈机制对比实验</w:t>
      </w:r>
    </w:p>
    <w:p>
      <w:pPr>
        <w:jc w:val="center"/>
      </w:pPr>
      <w:r>
        <w:rPr>
          <w:rFonts w:ascii="Times New Roman" w:hAnsi="Times New Roman" w:eastAsia="宋体"/>
          <w:color w:val="666666"/>
          <w:sz w:val="20"/>
        </w:rPr>
        <w:t>华南师范大学 光电信息科学与工程 | 考研中山大学 网络信息与安全专硕</w:t>
      </w:r>
    </w:p>
    <w:p/>
    <w:p>
      <w:pPr>
        <w:pStyle w:val="Heading1"/>
      </w:pPr>
      <w:r>
        <w:rPr>
          <w:rFonts w:ascii="Times New Roman" w:hAnsi="Times New Roman" w:eastAsia="黑体"/>
          <w:b/>
          <w:color w:val="1F497D"/>
          <w:sz w:val="28"/>
        </w:rPr>
        <w:t>一、任务简介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本项目基于Kaggle竞赛Dog Breed Identification，任务是对120种犬种进行细粒度图像分类。给定一张狗的图片，模型需要输出它属于120个品种中每一种的概率。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该任务属于细粒度图像分类（Fine-Grained Visual Categorization），与普通图像分类相比有以下难点：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类间方差小：不同犬种之间外观高度相似，例如哈士奇与阿拉斯加、萨摩耶与日本银狐，区分依赖耳朵形状、口鼻比例等细微特征。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类内方差大：同一犬种在毛色、姿态、角度、光照、背景等方面差异很大。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数据量小：训练集仅10222张，平均每类约85张，从头训练深度网络不可行，必须使用ImageNet预训练权重做迁移学习。</w:t>
      </w:r>
    </w:p>
    <w:p>
      <w:pPr>
        <w:pStyle w:val="Heading1"/>
      </w:pPr>
      <w:r>
        <w:rPr>
          <w:rFonts w:ascii="Times New Roman" w:hAnsi="Times New Roman" w:eastAsia="黑体"/>
          <w:b/>
          <w:color w:val="1F497D"/>
          <w:sz w:val="28"/>
        </w:rPr>
        <w:t>二、数据分析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数据集统计信息如下：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项目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训练集图片数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10,222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测试集图片数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10,357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类别数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每类平均图片数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85.2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每类最多/最少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126 / 66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图片格式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JPEG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类别分布如下图所示。最多的苏格兰猎鹿犬有126张，最少的布里犬和爱斯基摩犬仅66张，存在一定程度的类别不均衡，但比例在2:1以内，不需要特殊处理（如过采样或focal loss），使用stratify分层抽样即可保证训练集和验证集中各类别比例一致。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67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66666"/>
          <w:sz w:val="18"/>
        </w:rPr>
        <w:t>图1  120个犬种的类别分布</w:t>
      </w:r>
    </w:p>
    <w:p>
      <w:pPr>
        <w:pStyle w:val="Heading1"/>
      </w:pPr>
      <w:r>
        <w:rPr>
          <w:rFonts w:ascii="Times New Roman" w:hAnsi="Times New Roman" w:eastAsia="黑体"/>
          <w:b/>
          <w:color w:val="1F497D"/>
          <w:sz w:val="28"/>
        </w:rPr>
        <w:t>三、方法设计</w:t>
      </w:r>
    </w:p>
    <w:p>
      <w:pPr>
        <w:pStyle w:val="Heading2"/>
      </w:pPr>
      <w:r>
        <w:rPr>
          <w:rFonts w:ascii="Times New Roman" w:hAnsi="Times New Roman" w:eastAsia="黑体"/>
          <w:b/>
          <w:color w:val="1F497D"/>
          <w:sz w:val="24"/>
        </w:rPr>
        <w:t>3.1 基线选择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选择ResNet-50作为基线backbone，理由如下：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迁移学习必要性：训练集仅1万张，从头训练深度CNN会严重过拟合。ImageNet预训练模型已经学到了通用的视觉特征（边缘、纹理、形状），在小数据集上微调即可获得良好效果。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ResNet-50 vs ResNet-101/152：ResNet-50有25.6M参数，ImageNet Top-1精度76.1%，在精度和过拟合风险之间取得平衡。更深的101/152层在小数据集上更容易过拟合，且训练时间更长，性价比不高。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残差连接保证可训练性：ResNet的shortcut connection使梯度可以直接回传到浅层，避免深层网络的退化问题。</w:t>
      </w:r>
    </w:p>
    <w:p>
      <w:pPr>
        <w:pStyle w:val="Heading2"/>
      </w:pPr>
      <w:r>
        <w:rPr>
          <w:rFonts w:ascii="Times New Roman" w:hAnsi="Times New Roman" w:eastAsia="黑体"/>
          <w:b/>
          <w:color w:val="1F497D"/>
          <w:sz w:val="24"/>
        </w:rPr>
        <w:t>3.2 改进模块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在ResNet-50基线上，分别加入四个改进模块进行消融实验：</w:t>
      </w:r>
    </w:p>
    <w:p>
      <w:r>
        <w:rPr>
          <w:rFonts w:ascii="Times New Roman" w:hAnsi="Times New Roman" w:eastAsia="宋体"/>
          <w:b/>
          <w:sz w:val="22"/>
        </w:rPr>
        <w:t>（1）SE通道注意力（Squeeze-and-Excitation）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动机：不同特征通道对应不同的特征模式（如有的通道检测耳朵，有的检测毛色），网络应该自适应地增强重要通道、抑制无关通道。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原理：Squeeze（全局平均池化压缩空间信息）→ Excitation（两层FC学习通道权重，Sigmoid归一化到0-1）→ Scale（逐通道加权）。即插即用，参数量增加约3%。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预期：在细粒度分类中，通道注意力有助于聚焦判别性特征通道，预期提升0.5%~1.5%。</w:t>
      </w:r>
    </w:p>
    <w:p>
      <w:r>
        <w:rPr>
          <w:rFonts w:ascii="Times New Roman" w:hAnsi="Times New Roman" w:eastAsia="宋体"/>
          <w:b/>
          <w:sz w:val="22"/>
        </w:rPr>
        <w:t>（2）CBAM卷积块注意力（通道+空间）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动机：SE只关注"哪些通道重要"，忽略了"哪里重要"。犬种分类中，耳朵、口鼻等局部区域比背景更有判别力。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原理：通道注意力（avg+max双路池化+共享MLP）与空间注意力（通道维avg+max拼接+7x7卷积）串联，同时关注"什么"和"哪里"。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预期：空间注意力帮助聚焦判别性区域，预期提升0.8%~2%。</w:t>
      </w:r>
    </w:p>
    <w:p>
      <w:r>
        <w:rPr>
          <w:rFonts w:ascii="Times New Roman" w:hAnsi="Times New Roman" w:eastAsia="宋体"/>
          <w:b/>
          <w:sz w:val="22"/>
        </w:rPr>
        <w:t>（3）多尺度特征融合（FPN方式）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动机：CNN浅层特征分辨率高但语义弱（毛发纹理），深层语义强但分辨率低（整体体型）。细粒度分类同时需要细节和语义信息。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原理：借鉴FPN，用1x1卷积统一各层通道数，自顶向下上采样后逐元素相加，融合多层特征后分类。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预期：融合浅层细节和深层语义，预期提升0.5%~1.5%。</w:t>
      </w:r>
    </w:p>
    <w:p>
      <w:r>
        <w:rPr>
          <w:rFonts w:ascii="Times New Roman" w:hAnsi="Times New Roman" w:eastAsia="宋体"/>
          <w:b/>
          <w:sz w:val="22"/>
        </w:rPr>
        <w:t>（4）反馈网络（Learning with Rethinking）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动机：传统CNN只有前馈结构，没有自上而下的反馈修正。人类视觉会根据高层语义重新审视输入，对难分样本二次判断。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原理：第一次前向得到初始预测，将高层特征和预测拼接后经全连接层生成门控信号，调制浅层特征后第二次前向得到修正预测。训练时损失为0.3*loss1+0.7*loss2。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预期：对相似犬种的难分样本通过二次审视修正预测，预期提升0%~1%（在干净静态图像上提升有限）。</w:t>
      </w:r>
    </w:p>
    <w:p>
      <w:pPr>
        <w:pStyle w:val="Heading2"/>
      </w:pPr>
      <w:r>
        <w:rPr>
          <w:rFonts w:ascii="Times New Roman" w:hAnsi="Times New Roman" w:eastAsia="黑体"/>
          <w:b/>
          <w:color w:val="1F497D"/>
          <w:sz w:val="24"/>
        </w:rPr>
        <w:t>3.3 模型结构总览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模型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Backbone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改进模块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新增参数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ResNet-50 (Baseline)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ResNet-50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无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+SE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ResNet-50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每个stage后加SE通道注意力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~0.7M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+CBAM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ResNet-50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每个stage后加CBAM通道+空间注意力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~0.7M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+MultiScale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ResNet-50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FPN式多层特征融合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~0M（替换分类头）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+Feedback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ResNet-50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两次前向+门控反馈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~1.0M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b/>
          <w:color w:val="1F497D"/>
          <w:sz w:val="28"/>
        </w:rPr>
        <w:t>四、代码实现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项目代码分为两个文件：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models.py：定义5个模型类（BaselineResNet、SEResNet、CBAMResNet、MultiScaleResNet、FeedbackResNet），以及SEBlock、CBAM等子模块。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main.py：配置、数据加载、训练循环、验证、测试推理、结果可视化。</w:t>
      </w:r>
    </w:p>
    <w:p>
      <w:r>
        <w:rPr>
          <w:rFonts w:ascii="Times New Roman" w:hAnsi="Times New Roman" w:eastAsia="宋体"/>
          <w:b w:val="0"/>
          <w:sz w:val="22"/>
        </w:rPr>
        <w:t>以SEBlock为例，核心实现如下：</w:t>
      </w:r>
    </w:p>
    <w:p>
      <w:r>
        <w:rPr>
          <w:rFonts w:ascii="Consolas" w:hAnsi="Consolas"/>
          <w:sz w:val="18"/>
        </w:rPr>
        <w:t>class SEBlock(nn.Module):</w:t>
        <w:br/>
        <w:t xml:space="preserve">    def __init__(self, channels, reduction=16):</w:t>
        <w:br/>
        <w:t xml:space="preserve">        super().__init__()</w:t>
        <w:br/>
        <w:t xml:space="preserve">        self.avg_pool = nn.AdaptiveAvgPool2d(1)       # Squeeze</w:t>
        <w:br/>
        <w:t xml:space="preserve">        self.fc = nn.Sequential(</w:t>
        <w:br/>
        <w:t xml:space="preserve">            nn.Linear(channels, channels // reduction, bias=False),</w:t>
        <w:br/>
        <w:t xml:space="preserve">            nn.ReLU(inplace=True),</w:t>
        <w:br/>
        <w:t xml:space="preserve">            nn.Linear(channels // reduction, channels, bias=False),</w:t>
        <w:br/>
        <w:t xml:space="preserve">            nn.Sigmoid()                                # Excitation</w:t>
        <w:br/>
        <w:t xml:space="preserve">        )</w:t>
        <w:br/>
        <w:t xml:space="preserve">    def forward(self, x):</w:t>
        <w:br/>
        <w:t xml:space="preserve">        b, c, _, _ = x.size()</w:t>
        <w:br/>
        <w:t xml:space="preserve">        y = self.avg_pool(x).view(b, c)</w:t>
        <w:br/>
        <w:t xml:space="preserve">        y = self.fc(y).view(b, c, 1, 1)</w:t>
        <w:br/>
        <w:t xml:space="preserve">        return x * y.expand_as(x)                       # Scale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训练流程为：前向传播→计算损失→反向传播→优化器更新，每个epoch结束后在验证集上评估Top-1和Top-5精度，保存最佳模型。结果缓存机制将每个模型的训练历史保存为JSON，再次运行自动跳过已训练模型。</w:t>
      </w:r>
    </w:p>
    <w:p>
      <w:pPr>
        <w:pStyle w:val="Heading1"/>
      </w:pPr>
      <w:r>
        <w:rPr>
          <w:rFonts w:ascii="Times New Roman" w:hAnsi="Times New Roman" w:eastAsia="黑体"/>
          <w:b/>
          <w:color w:val="1F497D"/>
          <w:sz w:val="28"/>
        </w:rPr>
        <w:t>五、实验配置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配置项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设置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GPU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NVIDIA GeForce RTX 3080 Laptop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输入分辨率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224 x 224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Batch Size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训练轮数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40 epochs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优化器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AdamW (lr=1e-4, weight_decay=1e-4)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学习率调度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CosineAnnealingLR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损失函数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CrossEntropyLoss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训练数据增强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RandomResizedCrop(scale=0.6~1.0), HorizontalFlip, Rotation(15), ColorJitter, RandomErasing(p=0.3)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验证预处理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Resize(256) + CenterCrop(224)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数据划分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80%训练 / 20%验证，stratify分层抽样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随机种子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42（固定）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公平对比原则：所有模型使用完全相同的数据增强、优化器、学习率、batch size、epoch数和随机种子，确保性能差异仅来自模型结构本身。</w:t>
      </w:r>
    </w:p>
    <w:p>
      <w:pPr>
        <w:pStyle w:val="Heading1"/>
      </w:pPr>
      <w:r>
        <w:rPr>
          <w:rFonts w:ascii="Times New Roman" w:hAnsi="Times New Roman" w:eastAsia="黑体"/>
          <w:b/>
          <w:color w:val="1F497D"/>
          <w:sz w:val="28"/>
        </w:rPr>
        <w:t>六、实验结果</w:t>
      </w:r>
    </w:p>
    <w:p>
      <w:pPr>
        <w:pStyle w:val="Heading2"/>
      </w:pPr>
      <w:r>
        <w:rPr>
          <w:rFonts w:ascii="Times New Roman" w:hAnsi="Times New Roman" w:eastAsia="黑体"/>
          <w:b/>
          <w:color w:val="1F497D"/>
          <w:sz w:val="24"/>
        </w:rPr>
        <w:t>6.1 总体结果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模型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Best Top-1 (%)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Best Top-5 (%)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Params (M)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Avg Epoch (s)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ResNet-50 (Baseline)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83.96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97.95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24.6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164.4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+SE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83.57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97.80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25.3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171.8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+CBAM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82.64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97.85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25.3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199.4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+MultiScale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69.63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94.18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24.6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182.1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+Feedback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79.17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96.92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25.6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212.9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581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_b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66666"/>
          <w:sz w:val="18"/>
        </w:rPr>
        <w:t>图2  各模型精度、参数量、训练时间对比</w:t>
      </w:r>
    </w:p>
    <w:p>
      <w:pPr>
        <w:pStyle w:val="Heading2"/>
      </w:pPr>
      <w:r>
        <w:rPr>
          <w:rFonts w:ascii="Times New Roman" w:hAnsi="Times New Roman" w:eastAsia="黑体"/>
          <w:b/>
          <w:color w:val="1F497D"/>
          <w:sz w:val="24"/>
        </w:rPr>
        <w:t>6.2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133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3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66666"/>
          <w:sz w:val="18"/>
        </w:rPr>
        <w:t>图3  训练/验证 Loss与Accuracy曲线对比</w:t>
      </w:r>
    </w:p>
    <w:p>
      <w:pPr>
        <w:pStyle w:val="Heading2"/>
      </w:pPr>
      <w:r>
        <w:rPr>
          <w:rFonts w:ascii="Times New Roman" w:hAnsi="Times New Roman" w:eastAsia="黑体"/>
          <w:b/>
          <w:color w:val="1F497D"/>
          <w:sz w:val="24"/>
        </w:rPr>
        <w:t>6.3 消融实验分析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以BaselineResNet为基准，四个改进模块的消融结果如下：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模型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Best Top-1 (%)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相对baseline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末10轮均值 (%)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训练精度 (%)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过拟合差距 (%)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结论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Baseline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83.96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83.62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97.63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14.01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基线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+SE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83.57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-0.39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83.31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97.60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14.29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基本持平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+CBAM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82.64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-1.32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82.46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97.28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14.82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略低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+MultiScale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69.63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69.30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84.10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14.80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严重异常（欠拟合）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+Feedback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79.17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-4.79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78.56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98.04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19.48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严重过拟合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SE与baseline仅差0.39%，训练精度和过拟合差距几乎一致，属于随机波动范围，不能说明SE有害。CBAM低1.32%，训练精度接近但未出现严重过拟合，可能部分来自随机波动，部分来自模块对预训练特征的干扰。两者均未带来提升，说明在1万张小数据集上，ImageNet预训练特征已经足够好，注意力模块引入的额外参数未能转化为性能收益。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MultiScale和Feedback出现严重异常，前者训练集都学不好（欠拟合），后者训练集很好但验证集很差（过拟合）。这两个不是超参数调优问题，而是模型结构实现存在bug，具体排查和修复过程见第七章。</w:t>
      </w:r>
    </w:p>
    <w:p>
      <w:pPr>
        <w:pStyle w:val="Heading1"/>
      </w:pPr>
      <w:r>
        <w:rPr>
          <w:rFonts w:ascii="Times New Roman" w:hAnsi="Times New Roman" w:eastAsia="黑体"/>
          <w:b/>
          <w:color w:val="1F497D"/>
          <w:sz w:val="28"/>
        </w:rPr>
        <w:t>七、遇到的问题与解决</w:t>
      </w:r>
    </w:p>
    <w:p>
      <w:r>
        <w:rPr>
          <w:rFonts w:ascii="Times New Roman" w:hAnsi="Times New Roman" w:eastAsia="宋体"/>
          <w:b/>
          <w:sz w:val="22"/>
        </w:rPr>
        <w:t>问题1：torch.cuda.get_device_properties属性名报错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现象：运行时报错 AttributeError，提示 total_mem 属性不存在。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分析：PyTorch版本更新后，获取显存总量的属性名从 total_mem 改为了 total_memory。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解决：将 torch.cuda.get_device_properties(0).total_mem 改为 torch.cuda.get_device_properties(0).total_memory。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教训：查阅PyTorch官方文档确认API名称，不同版本间API可能有变化。</w:t>
      </w:r>
    </w:p>
    <w:p>
      <w:r>
        <w:rPr>
          <w:rFonts w:ascii="Times New Roman" w:hAnsi="Times New Roman" w:eastAsia="宋体"/>
          <w:b/>
          <w:sz w:val="22"/>
        </w:rPr>
        <w:t>问题2：MultiScale模型精度仅69.63%，严重欠拟合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现象：MultiScale模型收敛极慢，前5个epoch验证精度仅30-45%（其他模型已达80%），最终训练精度仅84%，训练loss高达0.69（其他模型0.1左右）。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分析：训练集都学不好说明是欠拟合而非过拟合。通过对比训练/验证loss曲线确认后，进行代码审查，发现三个结构问题：（1）layer4被完全丢弃，代码中 _ = self.layer4(c3) 计算了结果但直接丢弃，而layer4是ResNet-50语义最强的层（2048维），分类任务最依赖它；（2）1x1卷积将1024/512/256通道统一压缩到256维，而baseline使用2048维特征分类，表达能力差8倍；（3）融合后只取layer1尺度的p1经过分类头，深层语义经过两次nearest上采样和相加后已被严重稀释。FPN是为目标检测设计的（多尺度检测），直接搬到分类任务且丢弃最深层是设计错误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解决：待修复：保留layer4特征，多层分别global average pooling后拼接（concat）再分类，不做过度通道压缩，让深层语义和浅层细节都参与分类。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教训：为其他任务设计的模块不能直接照搬，必须理解其设计动机并适配当前任务。分类任务最依赖深层语义特征，不能丢弃layer4。</w:t>
      </w:r>
    </w:p>
    <w:p>
      <w:r>
        <w:rPr>
          <w:rFonts w:ascii="Times New Roman" w:hAnsi="Times New Roman" w:eastAsia="宋体"/>
          <w:b/>
          <w:sz w:val="22"/>
        </w:rPr>
        <w:t>问题3：Feedback模型严重过拟合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现象：Feedback训练精度98%（比baseline还高），但验证精度仅78.6%，过拟合差距达19.5%（baseline为14%）。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分析：训练精度高但验证精度低，初步判断为过拟合。但普通的过拟合不会差5个百分点这么多，进一步代码审查发现核心问题是训练与推理不一致：训练时返回(logits1, logits2)，损失为0.3*loss1+0.7*loss2，70%的梯度在优化第二次前向路径；但推理时只返回logits1（第一次前向），训练优化的路径和推理使用的路径不匹配。此外，refine卷积层随机初始化，改变了layer1输出的特征分布，而layer2-4是在原始分布上预训练的，输入分布突变破坏了预训练特征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解决：待修复：推理时也返回logits2（或两次前向结果取平均）；将refine层最后一个BN的weight初始化为0，使训练开始时反馈路径近似恒等映射，不改变原始特征。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教训：训练和推理的前向传播路径必须一致，否则训练优化的方向和推理使用的方向不匹配。添加新模块时要保证初始状态接近恒等映射，避免破坏预训练特征。</w:t>
      </w:r>
    </w:p>
    <w:p>
      <w:pPr>
        <w:pStyle w:val="Heading1"/>
      </w:pPr>
      <w:r>
        <w:rPr>
          <w:rFonts w:ascii="Times New Roman" w:hAnsi="Times New Roman" w:eastAsia="黑体"/>
          <w:b/>
          <w:color w:val="1F497D"/>
          <w:sz w:val="28"/>
        </w:rPr>
        <w:t>八、总结与反思</w:t>
      </w:r>
    </w:p>
    <w:p>
      <w:r>
        <w:rPr>
          <w:rFonts w:ascii="Times New Roman" w:hAnsi="Times New Roman" w:eastAsia="宋体"/>
          <w:b/>
          <w:sz w:val="22"/>
        </w:rPr>
        <w:t>1. 基线结果合理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ResNet-50迁移学习在120类细粒度犬种分类上达到83.96% Top-1、97.95% Top-5，符合该任务上单模型的典型水平。</w:t>
      </w:r>
    </w:p>
    <w:p>
      <w:r>
        <w:rPr>
          <w:rFonts w:ascii="Times New Roman" w:hAnsi="Times New Roman" w:eastAsia="宋体"/>
          <w:b/>
          <w:sz w:val="22"/>
        </w:rPr>
        <w:t>2. 注意力模块在小数据集上收益有限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SE和CBAM均未带来提升，SE与baseline基本持平（-0.39%），CBAM略低（-1.32%）。原因可能是ImageNet预训练特征已经足够好，注意力模块在小数据集上引入了额外参数和优化难度，反而干扰了预训练特征。注意力机制更适合大数据集或从零训练的场景。</w:t>
      </w:r>
    </w:p>
    <w:p>
      <w:r>
        <w:rPr>
          <w:rFonts w:ascii="Times New Roman" w:hAnsi="Times New Roman" w:eastAsia="宋体"/>
          <w:b/>
          <w:sz w:val="22"/>
        </w:rPr>
        <w:t>3. 多尺度融合的失败是结构设计问题而非方法本身无效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FPN式融合在目标检测中非常成功，但当前实现错误地丢弃了最深层语义特征并过度压缩通道。正确的做法是保留所有层特征（包括layer4），分别全局池化后拼接分类。这个失败案例提醒我：理解模块原理比照搬代码更重要。</w:t>
      </w:r>
    </w:p>
    <w:p>
      <w:r>
        <w:rPr>
          <w:rFonts w:ascii="Times New Roman" w:hAnsi="Times New Roman" w:eastAsia="宋体"/>
          <w:b/>
          <w:sz w:val="22"/>
        </w:rPr>
        <w:t>4. 反馈网络在干净静态图像上提升有限且实现有陷阱</w:t>
      </w:r>
    </w:p>
    <w:p>
      <w:pPr>
        <w:ind w:firstLine="440"/>
      </w:pPr>
      <w:r>
        <w:rPr>
          <w:rFonts w:ascii="Times New Roman" w:hAnsi="Times New Roman" w:eastAsia="宋体"/>
          <w:b w:val="0"/>
          <w:sz w:val="22"/>
        </w:rPr>
        <w:t>反馈机制在噪声、遮挡、视频等场景有优势，但在干净的静态图像分类上，第一次前向已经提取了足够信息，二次修正的空间有限。此外训练-推理不一致是一个隐蔽但致命的bug。</w:t>
      </w:r>
    </w:p>
    <w:p>
      <w:r>
        <w:rPr>
          <w:rFonts w:ascii="Times New Roman" w:hAnsi="Times New Roman" w:eastAsia="宋体"/>
          <w:b/>
          <w:sz w:val="22"/>
        </w:rPr>
        <w:t>5. 后续改进方向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修复MultiScale：保留layer4，多层GAP后拼接，通道不压缩到256以下。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修复Feedback：推理时返回logits2，refine初始化为恒等映射。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两阶段训练：先冻结backbone只训分类头（5 epochs），再解冻全部微调，避免随机初始化的分类头破坏预训练特征。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TTA（测试时增强）：多裁剪/翻转取平均预测，免费提升1%~2%。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Ensemble：多个模型概率平均，Kaggle刷榜常用手段。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更大输入分辨率：380x380或448x448有助于细粒度特征识别。</w:t>
      </w:r>
    </w:p>
    <w:p>
      <w:pPr>
        <w:pStyle w:val="ListBullet"/>
      </w:pPr>
      <w:r>
        <w:rPr>
          <w:rFonts w:ascii="Times New Roman" w:hAnsi="Times New Roman" w:eastAsia="宋体"/>
          <w:sz w:val="22"/>
        </w:rPr>
        <w:t>多次重复实验：用不同随机种子跑3-5次取均值，消除随机性影响。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