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https://ndc.services.cdc.gov/case-definitions/anaplasmosis-2024/</w:t>
      </w:r>
    </w:p>
    <w:p>
      <w:r>
        <w:t>Anaplasmosis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Anaplasmosis</w:t>
        <w:br/>
        <w:t>2024 Case Definition</w:t>
        <w:br/>
        <w:t>Anaplasmosis</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Subtype(s)</w:t>
        <w:br/>
        <w:t>Anaplasma phagocytophilum</w:t>
        <w:br/>
        <w:t>Background</w:t>
        <w:br/>
        <w:t>Anaplasmosis is a tickborne disease caused by the bacterium</w:t>
        <w:br/>
        <w:t>Anaplasma phagocytophilum</w:t>
        <w:br/>
        <w:t>.</w:t>
        <w:br/>
        <w:t>Ixodes scapularis</w:t>
        <w:br/>
        <w:t>, or the blacklegged tick, is the primary vector in the northeastern and midwestern United States. The western blacklegged tick,</w:t>
        <w:br/>
        <w:t>Ixodes pacificus</w:t>
        <w:br/>
        <w:t>, is the principal vector along the West Coast (1). Anaplasmosis typically presents 5 to 14 days after a tick bite with a combination of nonspecific clinical symptoms, such as fever, fatigue, and headache. Illness is often accompanied by laboratory abnormalities including leukopenia, thrombocytopenia, and mildly elevated liver enzymes (1; 2; 3).</w:t>
        <w:br/>
        <w:t>Clinical Criteria</w:t>
        <w:br/>
        <w:t>Objective clinical evidence</w:t>
        <w:br/>
        <w:t>: fever as reported by patient or healthcare provider, anemia, leukopenia, thrombocytopenia, any hepatic transaminase elevation, or elevated C-reactive protein.</w:t>
        <w:br/>
        <w:t>Subjective clinical evidence</w:t>
        <w:br/>
        <w:t>: chills/sweats, headache, myalgia, or fatigue/malaise.</w:t>
        <w:br/>
        <w:t>Laboratory Criteria</w:t>
        <w:br/>
        <w:t>Confirmatory laboratory evidence:</w:t>
        <w:br/>
        <w:t>Detection of</w:t>
        <w:br/>
        <w:t>A.</w:t>
        <w:br/>
        <w:t>phagocytophilum</w:t>
        <w:br/>
        <w:t>DNA in a clinical specimen via amplification of a specific target by polymerase chain reaction (PCR) assay, nucleic acid amplification tests (NAAT), or other molecular testing,</w:t>
        <w:br/>
        <w:t>OR</w:t>
        <w:br/>
        <w:t>Serological evidence of a four-fold change</w:t>
        <w:br/>
        <w:t>1</w:t>
        <w:br/>
        <w:t>in IgG-specific antibody titer to</w:t>
        <w:br/>
        <w:t>A.</w:t>
        <w:br/>
        <w:t>phagocytophilum</w:t>
        <w:br/>
        <w:t>antigen by indirect immunofluorescence assay (IFA) in paired serum samples (one taken in the first two weeks after illness onset</w:t>
        <w:br/>
        <w:t>AND</w:t>
        <w:br/>
        <w:t>a second taken two to ten weeks after acute specimen collection)</w:t>
        <w:br/>
        <w:t>2</w:t>
        <w:br/>
        <w:t>,</w:t>
        <w:br/>
        <w:t>OR</w:t>
        <w:br/>
        <w:t>Demonstration of anaplasmal antigen in a biopsy or autopsy sample by immunohistochemical methods,</w:t>
        <w:br/>
        <w:t>OR</w:t>
        <w:br/>
        <w:t>Isolation of</w:t>
        <w:br/>
        <w:t>A.</w:t>
        <w:br/>
        <w:t>phagocytophilum</w:t>
        <w:br/>
        <w:t>from a clinical specimen in cell culture with molecular confirmation (e.g., PCR or sequencing).</w:t>
        <w:br/>
        <w:t>Presumptive laboratory evidence:</w:t>
        <w:br/>
        <w:t>Serological evidence of elevated IgG antibody reactive with</w:t>
        <w:br/>
        <w:t>A.</w:t>
        <w:br/>
        <w:t>phagocytophilum</w:t>
        <w:br/>
        <w:t>antigen by IFA at a titer ≥1:128 in a sample taken within 60 days of illness onset,</w:t>
        <w:br/>
        <w:t>OR</w:t>
        <w:br/>
        <w:t>Microscopic identification of intracytoplasmic morulae in leukocytes in a sample taken within 60 days of illness onset.</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w:t>
        <w:br/>
        <w:t>1</w:t>
        <w:br/>
        <w:t>A four-fold change in titer is equivalent to a change of two dilutions (e.g., 1:64 to 1:256).</w:t>
        <w:br/>
        <w:t>2</w:t>
        <w:br/>
        <w:t>A four-fold rise in titer should not be excluded as confirmatory laboratory criteria if the acute and convalescent specimens are collected within two weeks of one another.</w:t>
        <w:br/>
        <w:t>Criteria to Distinguish a New Case from an Existing Case</w:t>
        <w:br/>
        <w:t>A person previously reported as a probable or confirmed case-patient may be counted as a new case-patient when there is an episode of new clinically compatible illness with confirmatory laboratory evidence.</w:t>
        <w:br/>
        <w:t>Case Classification</w:t>
        <w:br/>
        <w:t>Suspect</w:t>
        <w:br/>
        <w:t>Meets confirmatory or presumptive laboratory evidence with no or insufficient clinical information to classify as a confirmed or probable case (e.g., a laboratory report only).*</w:t>
        <w:br/>
        <w:t>Probable</w:t>
        <w:br/>
        <w:t>Meets presumptive laboratory evidence with fever as reported by patient or healthcare provider</w:t>
        <w:br/>
        <w:t>AND</w:t>
        <w:br/>
        <w:t>at least one other objective or subjective clinical evidence criterion (excluding chills/sweats),*</w:t>
        <w:br/>
        <w:t>OR</w:t>
        <w:br/>
        <w:t>Meets presumptive laboratory evidence without a reported fever but with chills/sweats</w:t>
        <w:br/>
        <w:t>AND</w:t>
        <w:br/>
        <w:t>at least one objective clinical evidence criterion,</w:t>
        <w:br/>
        <w:t>OR</w:t>
        <w:br/>
        <w:t>two other subjective clinical evidence criteria.*</w:t>
        <w:br/>
        <w:t>Confirmed</w:t>
        <w:br/>
        <w:t>Meets confirmatory laboratory evidence</w:t>
        <w:br/>
        <w:t>AND</w:t>
        <w:br/>
        <w:t>at least one of the objective or subjective clinical evidence criteria.*</w:t>
        <w:br/>
        <w:t>*Patients should not be classified as cases for both anaplasmosis and ehrlichiosis based on serologic evidence alone</w:t>
        <w:br/>
        <w:t>Comments</w:t>
        <w:br/>
        <w:t>A</w:t>
        <w:br/>
        <w:t>.</w:t>
        <w:br/>
        <w:t>phagocytophilum</w:t>
        <w:br/>
        <w:t>is closely related to</w:t>
        <w:br/>
        <w:t>Ehrlichia</w:t>
        <w:br/>
        <w:t>spp. bacteria, and many patients are tested using serologic panels that include targets for both species. As a result, it is not uncommon for jurisdictions to receive positive antibody results for both</w:t>
        <w:br/>
        <w:t>Anaplasma</w:t>
        <w:br/>
        <w:t>and</w:t>
        <w:br/>
        <w:t>Ehrlichia</w:t>
        <w:br/>
        <w:t>spp. with the same collection date for a single patient. Public health agencies should use a combination of titer levels, information about the location of possible exposures, clinical manifestations, and the incidence of a particular disease in the geographic areas of exposure to help determine the appropriate disease type for individual patients. Patients should not be classified as cases for both anaplasmosis and ehrlichiosis based on serologic evidence alone.</w:t>
        <w:br/>
        <w:t>References</w:t>
        <w:br/>
        <w:t>Biggs HM, Behravesh CB, Bradley KK, et al. Diagnosis and Management of Tickborne Rickettsial Diseases: Rocky Mountain Spotted Fever and Other Spotted Fever Group Rickettsioses, Ehrlichioses, and Anaplasmosis — United States. MMWR Recomm Rep 2016;65(No. RR-2):1–48. DOI:</w:t>
        <w:br/>
        <w:t>http://dx.doi.org/10.15585/mmwr.rr6502a1</w:t>
        <w:br/>
        <w:t>external icon</w:t>
        <w:br/>
        <w:t>.</w:t>
        <w:br/>
        <w:t>Hamilton, R., Pandora, T. R., Parsonnet, J., &amp; Martin, I. W. (2021). Clinical Decision Support Trees Can Help Optimize Utilization of Anaplasma phagocytophilum Nucleic Acid Amplification Testing.</w:t>
        <w:br/>
        <w:t>Journal of clinical microbiology</w:t>
        <w:br/>
        <w:t>,</w:t>
        <w:br/>
        <w:t>59</w:t>
        <w:br/>
        <w:t>(9), e0079121.</w:t>
        <w:br/>
        <w:t>https://doi.org/10.1128/JCM.00791-21</w:t>
        <w:br/>
        <w:t>MacQueen D, Centellas F. Human Granulocytic Anaplasmosis. Infect Dis Clin N Am 2022;36: 639–654.</w:t>
        <w:br/>
        <w:t>https://doi.org/10.1016/j.idc.2022.02.008</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