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https://ndc.services.cdc.gov/case-definitions/arboviral-encephalitis-or-meningitis-2001/</w:t>
      </w:r>
    </w:p>
    <w:p>
      <w:r>
        <w:t>Arboviral Encephalitis or Meningitis 2001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Arboviral Encephalitis or Meningitis</w:t>
        <w:br/>
        <w:t>2001 Case Definition</w:t>
        <w:br/>
        <w:t>Arboviral Encephalitis or Meningitis</w:t>
        <w:br/>
        <w:t>2001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Subtype(s)</w:t>
        <w:br/>
        <w:t>California serogroup encephalitis/meningitis</w:t>
        <w:br/>
        <w:t>Eastern equine encephalitis/meningitis</w:t>
        <w:br/>
        <w:t>Powassan encephalitis/meningitis</w:t>
        <w:br/>
        <w:t>St. Louis encephalitis/meningitis</w:t>
        <w:br/>
        <w:t>West Nile encephalitis/meningitis</w:t>
        <w:br/>
        <w:t>Western equine encephalitis/meningitis</w:t>
        <w:br/>
        <w:t>Clinical Description</w:t>
        <w:br/>
        <w:t>Arboviral infections may be asymptomatic or may result in illnesses of variable severity sometimes associated with central nervous system (CNS) involvement. When the CNS is affected, clinical syndromes ranging from febrile headache to aseptic meningitis to encephalitis may occur, and these are usually indistinguishable from similar syndromes caused by other viruses. Arboviral meningitis is characterized by fever, headache, stiff neck, and pleocytosis. Arboviral encephalitis is characterized by fever, headache, and altered mental status ranging from confusion to coma with or without additional signs of brain dysfunction (e.g., paresis or paralysis, cranial nerve palsies, sensory deficits, abnormal reflexes, generalized convulsions, and abnormal movements).</w:t>
        <w:br/>
        <w:t>Laboratory Criteria For Diagnosis</w:t>
        <w:br/>
        <w:t>Fourfold or greater change in virus-specific serum antibody titer,</w:t>
        <w:br/>
        <w:t>OR</w:t>
        <w:br/>
        <w:t>Isolation of virus from or demonstration of specific viral antigen or genomic sequences in tissue, blood, cerebrospinal fluid (CSF), or other body fluid,</w:t>
        <w:br/>
        <w:t>OR</w:t>
        <w:br/>
        <w:t>Virus-specific immunoglobulin M (IgM) antibodies demonstrated in CSF by antibody-capture enzyme immunoassay (EIA),</w:t>
        <w:br/>
        <w:t>OR</w:t>
        <w:br/>
        <w:t>Virus-specific IgM antibodies demonstrated in serum by antibody-capture EIA and confirmed by demonstration of virus-specific serum immunoglobulin G (IgG) antibodies in the same or a later specimen by another serologic assay (e.g., neutralization or hemagglutination inhibition).</w:t>
        <w:br/>
        <w:t>Case Classification</w:t>
        <w:br/>
        <w:t>Probable</w:t>
        <w:br/>
        <w:t>An encephalitis or meningitis case occurring during a period when arboviral transmission is likely, and with the following supportive serology: 1) a single or stable (less than or equal to twofold change) but elevated titer of virus-specific serum antibodies; or 2) serum IgM antibodies detected by antibody-capture EIA but with no available results of a confirmatory test for virus-specific serum IgG antibodies in the same or a later specimen.</w:t>
        <w:br/>
        <w:t>Confirmed</w:t>
        <w:br/>
        <w:t>An encephalitis or meningitis case that is laboratory confirmed</w:t>
        <w:br/>
        <w:t>Comments</w:t>
        <w:br/>
        <w:t>Because closely related arboviruses exhibit serologic cross-reactivity, positive results of serologic tests using antigens from a single arbovirus can be misleading. In some circumstances (e.g., in areas where two or more closely related arboviruses occur, or in imported arboviral disease cases), it may be epidemiologically important to attempt to pinpoint the infecting virus by conducting cross-neutralization tests using an appropriate battery of closely related viruses. This is essential, for example, in determining that antibodies detected against St. Louis encephalitis virus are not the result of an infection with West Nile (or dengue) virus, or vice versa, in areas where both of these viruses occur.</w:t>
        <w:br/>
        <w:t>The seasonality of arboviral transmission is variable and depends on the geographic location of exposure, the specific cycles of viral transmission, and local climatic conditions. Reporting should be etiology-specific (see below; the first six encephalitides/meningitides are nationally reportable to CDC):</w:t>
        <w:br/>
        <w:t>St. Louis encephalitis/meningitis</w:t>
        <w:br/>
        <w:t>West Nile encephalitis/meningitis</w:t>
        <w:br/>
        <w:t>Powassan encephalitis/meningitis</w:t>
        <w:br/>
        <w:t>Eastern equine encephalitis/meningitis</w:t>
        <w:br/>
        <w:t>Western equine encephalitis/meningitis</w:t>
        <w:br/>
        <w:t>California serogroup viral encephalitis/meningitis (includes infections with the following viruses: La Crosse, Jamestown Canyon, snowshoe hare, trivittatus, Keystone, and California encephalitis viruses)</w:t>
        <w:br/>
        <w:t>Other viral CNS infections transmitted by mosquitos, ticks, or midges (e.g., Venezuelan equine encephalitis/meningitis and Cache Valley encephalitis/meningitis)</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