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https://ndc.services.cdc.gov/case-definitions/campylobacteriosis-2012/</w:t>
      </w:r>
    </w:p>
    <w:p>
      <w:r>
        <w:t>Campylobacteriosis (Campylobacter spp.)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Campylobacteriosis (</w:t>
        <w:br/>
        <w:t>Campylobacter</w:t>
        <w:br/>
        <w:t>spp.)</w:t>
        <w:br/>
        <w:t>2012 Case Definition</w:t>
        <w:br/>
        <w:t>Campylobacteriosis (</w:t>
        <w:br/>
        <w:t>Campylobacter</w:t>
        <w:br/>
        <w:t>spp.)</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11-ID-10</w:t>
        <w:br/>
        <w:t>Clinical Description</w:t>
        <w:br/>
        <w:t>A diarrheal illness of variable severity.</w:t>
        <w:br/>
        <w:t>Laboratory Criteria For Diagnosis</w:t>
        <w:br/>
        <w:t>Suspect: Detection of</w:t>
        <w:br/>
        <w:t>Campylobacter</w:t>
        <w:br/>
        <w:t>spp. in a clinical specimen using non-culture based laboratory methods.</w:t>
        <w:br/>
        <w:t>Confirmed: Isolation of</w:t>
        <w:br/>
        <w:t>Campylobacter</w:t>
        <w:br/>
        <w:t>spp. in a clinical specimen.</w:t>
        <w:br/>
        <w:t>Case Classification</w:t>
        <w:br/>
        <w:t>Suspected</w:t>
        <w:br/>
        <w:t>A case that meets the suspect laboratory criteria for diagnosis.</w:t>
        <w:br/>
        <w:t>Probable</w:t>
        <w:br/>
        <w:t>A clinically compatible case that is epidemiologically linked to a confirmed case of campylobacteriosis.</w:t>
        <w:br/>
        <w:t>Confirmed</w:t>
        <w:br/>
        <w:t>A case that meets the confirmed laboratory criteria for diagnosis.</w:t>
        <w:br/>
        <w:t>Comments</w:t>
        <w:br/>
        <w:t>The use of culture independent methods as standalone tests for the direct detection of</w:t>
        <w:br/>
        <w:t>Campylobacter</w:t>
        <w:br/>
        <w:t>in stool appears to be increasing. Data available about the performance characteristics of these assays indicates there is variability in the sensitivity, specificity and positive predictive value of these assays depending on the test (enzyme immunoassay (EIA) test format -lateral flow or –microplate) and manufacturer. It is therefore useful to collect information on which type of EIA test and manufacturer are used to diagnose a case. Culture confirmation of culture independent (e.g., EIA) test positive specimens is ideal.</w:t>
        <w:br/>
        <w:t>Related Case Definition(s)</w:t>
        <w:br/>
        <w:t>Campylobacteriosis (</w:t>
        <w:br/>
        <w:t>Campylobacter</w:t>
        <w:br/>
        <w:t>spp.) | 2015 Case Definition</w:t>
        <w:br/>
        <w:t>Campylobacteriosis (</w:t>
        <w:br/>
        <w:t>Campylobacter</w:t>
        <w:br/>
        <w:t>spp.)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