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https://ndc.services.cdc.gov/case-definitions/candida-auris-2018/</w:t>
      </w:r>
    </w:p>
    <w:p>
      <w:r>
        <w:t>Candida auris 2018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Candida auris</w:t>
        <w:br/>
        <w:t>2018 Case Definition</w:t>
        <w:br/>
        <w:t>Candida auris</w:t>
        <w:br/>
        <w:t>2018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17-ID-03</w:t>
        <w:br/>
        <w:t>Subtype(s)</w:t>
        <w:br/>
        <w:t>Candida auris</w:t>
        <w:br/>
        <w:t>, clinical</w:t>
        <w:br/>
        <w:t>Candida auris</w:t>
        <w:br/>
        <w:t>, screening/surveillance</w:t>
        <w:br/>
        <w:t>Background</w:t>
        <w:br/>
        <w:t>Candida auris</w:t>
        <w:br/>
        <w:t>is an emerging multidrug-resistant (MDR) yeast that can cause invasive infections and is associated with high mortality.</w:t>
        <w:br/>
        <w:t>C. auris</w:t>
        <w:br/>
        <w:t>strains have been found to have elevated minimum inhibitory concentrations (MICs) to one of more of the three major classes of antifungals, with some resistant to all three classes, severely limiting treatment options. It can spread from patient to patient within healthcare settings and cause outbreaks, much like methicillin-resistant</w:t>
        <w:br/>
        <w:t>Staphylococcus aureus</w:t>
        <w:br/>
        <w:t>and multidrug-resistant</w:t>
        <w:br/>
        <w:t>Acinetobacter</w:t>
        <w:br/>
        <w:t>.</w:t>
        <w:br/>
        <w:t>C. auris</w:t>
        <w:br/>
        <w:t>requires specialized methods for identification and can be misidentified as other yeast (especially</w:t>
        <w:br/>
        <w:t>Candida haemulonii</w:t>
        <w:br/>
        <w:t>) by some testing methods (see CSTE position statement 17-ID-03, Appendix 1)</w:t>
        <w:br/>
        <w:t>1</w:t>
        <w:br/>
        <w:t>. Unlike</w:t>
        <w:br/>
        <w:t>C. auris</w:t>
        <w:br/>
        <w:t>, strains of</w:t>
        <w:br/>
        <w:t>C. haemulonii</w:t>
        <w:br/>
        <w:t>are typically unable to grow above 37°C; therefore,</w:t>
        <w:br/>
        <w:t>C. auris</w:t>
        <w:br/>
        <w:t>should be suspected when</w:t>
        <w:br/>
        <w:t>C. haemulonii</w:t>
        <w:br/>
        <w:t>is identified on culture of invasive body sites (e.g., blood) unless the method used can reliably detect</w:t>
        <w:br/>
        <w:t>C. auris</w:t>
        <w:br/>
        <w:t>.</w:t>
        <w:br/>
        <w:t>Known risk factors for</w:t>
        <w:br/>
        <w:t>C. auris</w:t>
        <w:br/>
        <w:t>infection are similar to those for invasive</w:t>
        <w:br/>
        <w:t>Candida</w:t>
        <w:br/>
        <w:t>infection in general, including central venous catheter use, recent surgery, diabetes, and recent broad-spectrum antibiotic or antifungal use. In the United States,</w:t>
        <w:br/>
        <w:t>C. auris</w:t>
        <w:br/>
        <w:t>has been observed predominantly among patients with extensive exposure to nursing homes and short-term and long-term acute care hospitals, and among patients who have invasive lines and tubes such as tracheostomy and gastrostomy tubes, Foley catheters, and central venous catheters. Patients who have received healthcare abroad, especially in</w:t>
        <w:br/>
        <w:t>countries with known</w:t>
        <w:br/>
        <w:t>C. auris</w:t>
        <w:br/>
        <w:t>transmission</w:t>
        <w:br/>
        <w:t>, may also be at risk for</w:t>
        <w:br/>
        <w:t>C. auris</w:t>
        <w:br/>
        <w:t>.</w:t>
        <w:br/>
        <w:t>C. auris</w:t>
        <w:br/>
        <w:t>is known to cause bloodstream infections, wound infections, and otitis, although it has also been cultured from bile, urine and the respiratory tract, which may involve colonization or infection.</w:t>
        <w:br/>
        <w:t>Clinical Description</w:t>
        <w:br/>
        <w:t>Clinical manifestation of</w:t>
        <w:br/>
        <w:t>C. auris</w:t>
        <w:br/>
        <w:t>infection depends upon the site of infection. Patients with</w:t>
        <w:br/>
        <w:t>C. auris</w:t>
        <w:br/>
        <w:t>bloodstream infection typically have sepsis and severe illness. Other invasive infections, such as intraabdominal candidiasis, and meningitis can also occur.</w:t>
        <w:br/>
        <w:t>C. auris</w:t>
        <w:br/>
        <w:t>has also been found to cause wound infections and otitis, and has been cultured from urine and respiratory specimens.</w:t>
        <w:br/>
        <w:t>C. auris</w:t>
        <w:br/>
        <w:t>has also been found to colonize the skin of asymptomatic people.</w:t>
        <w:br/>
        <w:t>Laboratory Criteria For Diagnosis</w:t>
        <w:br/>
        <w:t>Confirmatory laboratory evidence:</w:t>
        <w:br/>
        <w:t>Culture of</w:t>
        <w:br/>
        <w:t>C. auris</w:t>
        <w:br/>
        <w:t>from any body site, including blood, wound, skin, ear, urine, rectum, respiratory secretions, or other body fluids.</w:t>
        <w:br/>
        <w:t>Supportive laboratory evidence:</w:t>
        <w:br/>
        <w:t>Detection of</w:t>
        <w:br/>
        <w:t>C. haemulonii</w:t>
        <w:br/>
        <w:t>from urine, respiratory tract, or normally sterile site (e.g., blood) by a laboratory instrument not equipped to detect</w:t>
        <w:br/>
        <w:t>C. auris</w:t>
        <w:br/>
        <w:t>(i.e., not MALDI-TOF or ribosomal DNA sequencing as of February 2017) and isolate is not available for further testing. See the 2017 CSTE Position Statement, Appendix 1, for further details of performance characteristics of laboratory diagnostic tests.</w:t>
        <w:br/>
        <w:t>1</w:t>
        <w:br/>
        <w:t>C. auris</w:t>
        <w:br/>
        <w:t>cases should be stratified by</w:t>
        <w:br/>
        <w:t>blood</w:t>
        <w:br/>
        <w:t>versus</w:t>
        <w:br/>
        <w:t>non-blood clinical isolates</w:t>
        <w:br/>
        <w:t>.</w:t>
        <w:br/>
        <w:t>Epidemiologic Linkage</w:t>
        <w:br/>
        <w:t>Isolate from a person who is within same household, same healthcare facility, or in a healthcare facility that commonly shares patients with a facility, with another person with confirmatory laboratory evidence.</w:t>
        <w:br/>
        <w:t>Criteria to Distinguish a New Case from an Existing Case</w:t>
        <w:br/>
        <w:t>Count a clinical case only once even if a patient has a new event in the future (i.e., a new clinical isolate from a patient reported as a previous case would not be counted again). If a person previously had a suspect case, he or she may subsequently be counted as having a probable or confirmed case; the suspect case would be deleted. Similarly, if a person previously had a probable case, he or she may subsequently be counted as having a confirmed case; the probable case would be deleted.</w:t>
        <w:br/>
        <w:t>For colonization (screening/surveillance culture), count patient only once regardless of the interval between testing (assumes patient is always colonized).</w:t>
        <w:br/>
        <w:t>A person with a screening/surveillance case can later be categorized as having a clinical case (e.g., asymptomatic person with skin colonization who later develops invasive infection would be counted in both categories).</w:t>
        <w:br/>
        <w:t>A patient with a clinical case should not be counted as having a screening case thereafter (e.g., a patient with a known infection who later has skin colonization is not counted as having more than one case).</w:t>
        <w:br/>
        <w:t>Subtype(s) Case Definition</w:t>
        <w:br/>
        <w:t>Expand All</w:t>
        <w:br/>
        <w:t>Candida auris</w:t>
        <w:br/>
        <w:t>, clinical</w:t>
        <w:br/>
        <w:t>Case Classification</w:t>
        <w:br/>
        <w:t>Suspected</w:t>
        <w:br/>
        <w:t>Person with supportive laboratory evidence and no evidence of epidemiologic linkage.</w:t>
        <w:br/>
        <w:t>Probable</w:t>
        <w:br/>
        <w:t>Person with supportive laboratory evidence and evidence of epidemiologic linkage.</w:t>
        <w:br/>
        <w:t>Confirmed</w:t>
        <w:br/>
        <w:t>Person with confirmatory laboratory evidence. Specimen was collected for the purposes of diagnosing or treating disease in the normal course of care. This includes cultures of body sites reflecting invasive infection (e.g., blood, cerebrospinal fluid). Culture of wounds, urine, central venous catheter tips, and the respiratory tract would be classified as clinical cases unless the laboratory report indicates that the culture was performed as part of screening or surveillance and not in the normal course of care. Specimen source is</w:t>
        <w:br/>
        <w:t>NOT</w:t>
        <w:br/>
        <w:t>a screening/surveillance swab, such as skin (e.g., axilla, groin), external ear canal, nares, rectum, or stool.</w:t>
        <w:br/>
        <w:t>Candida auris</w:t>
        <w:br/>
        <w:t>, screening/surveillance</w:t>
        <w:br/>
        <w:t>Case Classification</w:t>
        <w:br/>
        <w:t>Confirmed</w:t>
        <w:br/>
        <w:t>Person with confirmatory laboratory evidence. Specimen was collected for the purpose of screening or surveillance. Specimen site is skin (e.g., axilla, groin), external ear canal, nares, rectum, stool, or other external body site. Cultures from other specimen sites, such as urine and respiratory cultures, collected specifically for screening or surveillance would be classified under this classification as well.</w:t>
        <w:br/>
        <w:t>References</w:t>
        <w:br/>
        <w:t>Council of State and Territorial Epidemiologists. Standardized case definition for</w:t>
        <w:br/>
        <w:t>Candida auris</w:t>
        <w:br/>
        <w:t>causing clinical infection and colonization in people. (17-ID-03) Atlanta, GA: Council of State and Territorial Epidemiologists; 2017.</w:t>
        <w:br/>
        <w:t>Related Case Definition(s)</w:t>
        <w:br/>
        <w:t>Candida auris</w:t>
        <w:br/>
        <w:t>| 2023 Case Definition</w:t>
        <w:br/>
        <w:t>Candida auris</w:t>
        <w:br/>
        <w:t>| 2019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