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https://ndc.services.cdc.gov/case-definitions/chlamydia-trachomatis-infection-2010/</w:t>
      </w:r>
    </w:p>
    <w:p>
      <w:r>
        <w:t>Chlamydia Trachomatis Infection 2010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Chlamydia Trachomatis</w:t>
        <w:br/>
        <w:t>Infection</w:t>
        <w:br/>
        <w:t>2010 Case Definition</w:t>
        <w:br/>
        <w:t>Chlamydia Trachomatis</w:t>
        <w:br/>
        <w:t>Infection</w:t>
        <w:br/>
        <w:t>2010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09-ID-08</w:t>
        <w:br/>
        <w:t>Clinical Description</w:t>
        <w:br/>
        <w:t>Infection with</w:t>
        <w:br/>
        <w:t>Chlamydia trachomatis</w:t>
        <w:br/>
        <w:t>may result in urethritis, epididymitis, cervicitis, acute salpingitis, or other syndromes when sexually transmitted; however, the infection is often asymptomatic in women. Perinatal infections may result in inclusion conjunctivitis and pneumonia in newborns. Other syndromes caused by</w:t>
        <w:br/>
        <w:t>C. trachomatis</w:t>
        <w:br/>
        <w:t>include lymphogranuloma venereum (see Lymphogranuloma venereum) and trachoma.</w:t>
        <w:br/>
        <w:t>Laboratory Criteria For Diagnosis</w:t>
        <w:br/>
        <w:t>Isolation of</w:t>
        <w:br/>
        <w:t>C. trachomatis</w:t>
        <w:br/>
        <w:t>by culture,</w:t>
        <w:br/>
        <w:t>OR</w:t>
        <w:br/>
        <w:t>Demonstration of</w:t>
        <w:br/>
        <w:t>C. trachomatis</w:t>
        <w:br/>
        <w:t>in a clinical specimen by detection of antigen or nucleic acid</w:t>
        <w:br/>
        <w:t>Case Classification</w:t>
        <w:br/>
        <w:t>Confirmed</w:t>
        <w:br/>
        <w:t>A case that is laboratory confirmed</w:t>
        <w:br/>
        <w:t>Related Case Definition(s)</w:t>
        <w:br/>
        <w:t>Chlamydia Trachomatis</w:t>
        <w:br/>
        <w:t>Infection | 2022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