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https://ndc.services.cdc.gov/case-definitions/cholera-1990/</w:t>
      </w:r>
    </w:p>
    <w:p>
      <w:r>
        <w:t>Cholera (Vibrio cholerae O1/O139)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Cholera (</w:t>
        <w:br/>
        <w:t>Vibrio cholerae</w:t>
        <w:br/>
        <w:t>O1/O139)</w:t>
        <w:br/>
        <w:t>1990 Case Definition</w:t>
        <w:br/>
        <w:t>Cholera (</w:t>
        <w:br/>
        <w:t>Vibrio cholerae</w:t>
        <w:br/>
        <w:t>O1/O139)</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characterized by diarrhea and/or vomiting. Severity is variable.</w:t>
        <w:br/>
        <w:t>Laboratory Criteria For Diagnosis</w:t>
        <w:br/>
        <w:t>Isolation of toxigenic (cholera toxin-producing)</w:t>
        <w:br/>
        <w:t>Vibrio cholerae</w:t>
        <w:br/>
        <w:t>01 from stool or vomitus,</w:t>
        <w:br/>
        <w:t>OR</w:t>
        <w:br/>
        <w:t>Significant rise in vibriocidal or antitoxic antibodies in acute- and early convalescent-phase sera,</w:t>
        <w:br/>
        <w:t>OR</w:t>
        <w:br/>
        <w:t>Significant fall in vibriocidal antibodies in early and late convalescent-phase sera among persons not recently vaccinated</w:t>
        <w:br/>
        <w:t>Case Classification</w:t>
        <w:br/>
        <w:t>Confirmed</w:t>
        <w:br/>
        <w:t>A clinically compatible illness that is laboratory confirmed</w:t>
        <w:br/>
        <w:t>Comments</w:t>
        <w:br/>
        <w:t>When other cases are known to be occurring, a less than fourfold rise in titer between acute- and convalescent-phase serum may be considered significant. Likewise, a less than fourfold fall between early and late convalescent-phase sera may be important in these circumstances. Only confirmed cases should be reported to the National Notifiable Diseases Surveillance System (NNDSS). Illnesses due to strains of</w:t>
        <w:br/>
        <w:t>V. cholerae</w:t>
        <w:br/>
        <w:t>other than toxigenic</w:t>
        <w:br/>
        <w:t>V. cholerae</w:t>
        <w:br/>
        <w:t>01 should not be reported as cases of cholera.</w:t>
        <w:br/>
        <w:t>Related Case Definition(s)</w:t>
        <w:br/>
        <w:t>Cholera (</w:t>
        <w:br/>
        <w:t>Vibrio cholerae</w:t>
        <w:br/>
        <w:t>O1/O139) | 1996 Case Definition</w:t>
        <w:br/>
        <w:t>Cholera (</w:t>
        <w:br/>
        <w:t>Vibrio cholerae</w:t>
        <w:br/>
        <w:t>O1/O139)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