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https://ndc.services.cdc.gov/case-definitions/cryptococcus-gattii-infection-2015/</w:t>
      </w:r>
    </w:p>
    <w:p>
      <w:r>
        <w:t>Cryptococcus Gattii Infection (C. gattii) 2015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16, 2021</w:t>
        <w:br/>
        <w:t>Case Definitions</w:t>
        <w:br/>
        <w:t>Message Mapping Guides</w:t>
        <w:br/>
        <w:t>Supporting Documents for Implementation</w:t>
        <w:br/>
        <w:t>Event Codes &amp; Other Surveillance Resources</w:t>
        <w:br/>
        <w:t>Cryptococcus Gattii</w:t>
        <w:br/>
        <w:t>Infection (</w:t>
        <w:br/>
        <w:t>C.</w:t>
        <w:br/>
        <w:t>gattii</w:t>
        <w:br/>
        <w:t>)</w:t>
        <w:br/>
        <w:t>2015 Case Definition</w:t>
        <w:br/>
        <w:t>Cryptococcus Gattii</w:t>
        <w:br/>
        <w:t>Infection (</w:t>
        <w:br/>
        <w:t>C.</w:t>
        <w:br/>
        <w:t>gattii</w:t>
        <w:br/>
        <w:t>)</w:t>
        <w:br/>
        <w:t>2015 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CSTE Position Statement(s)</w:t>
        <w:br/>
        <w:t>14-ID-07</w:t>
        <w:br/>
        <w:t>Background</w:t>
        <w:br/>
        <w:t>Cryptococcus</w:t>
        <w:br/>
        <w:t>is a ubiquitous fungal pathogen that causes primarily meningitis and pneumonia. The incidence of cryptococcal infection in the United States has been estimated at 0.4–1.3 cases/100,000/year. Two species of</w:t>
        <w:br/>
        <w:t>Cryptococcus</w:t>
        <w:br/>
        <w:t>cause the vast majority of human infections:</w:t>
        <w:br/>
        <w:t>C. neoformans</w:t>
        <w:br/>
        <w:t>and</w:t>
        <w:br/>
        <w:t>C. gattii</w:t>
        <w:br/>
        <w:t>.</w:t>
        <w:br/>
        <w:t>C. neoformans</w:t>
        <w:br/>
        <w:t>has a clear predilection for causing disease in persons in whom the immune system is impaired, and today an overwhelming proportion of</w:t>
        <w:br/>
        <w:t>C. neoformans</w:t>
        <w:br/>
        <w:t>infections occur in immunocompromised persons. In contrast,</w:t>
        <w:br/>
        <w:t>C. gattii</w:t>
        <w:br/>
        <w:t>was, until recently, considered a disease exclusive to immunocompetent persons living in tropical and subtropical regions of the world. It is an emerging pathogen in the United States, best known for having caused an outbreak in the Pacific Northwest, but locally acquired infections have been identified in several other states during the past five years. Early data from endemic areas suggested that</w:t>
        <w:br/>
        <w:t>C. gattii</w:t>
        <w:br/>
        <w:t>differed not only in epidemiology and clinical presentation from</w:t>
        <w:br/>
        <w:t>C. neoformans</w:t>
        <w:br/>
        <w:t>, but might also have different susceptibilities to antifungal agents and require more aggressive and lengthier antifungal therapy than</w:t>
        <w:br/>
        <w:t>C. neoformans</w:t>
        <w:br/>
        <w:t>infections.</w:t>
        <w:br/>
        <w:t>Laboratory Criteria For Diagnosis</w:t>
        <w:br/>
        <w:t>Any of the following:</w:t>
        <w:br/>
        <w:t>Isolation of</w:t>
        <w:br/>
        <w:t>Cryptococcus gattii</w:t>
        <w:br/>
        <w:t>from a clinical specimen; or</w:t>
        <w:br/>
        <w:t>Detection of</w:t>
        <w:br/>
        <w:t>Cryptococcus gattii</w:t>
        <w:br/>
        <w:t>-specific nucleic acid in clinical specimen; or</w:t>
        <w:br/>
        <w:t>Demonstration of</w:t>
        <w:br/>
        <w:t>Cryptococcus gattii</w:t>
        <w:br/>
        <w:t>in a clinical specimen by immunohistochemistry; or</w:t>
        <w:br/>
        <w:t>Result of matrix-assisted laser desorption/ionization time-of-flight mass spectrometry (MALDI-TOF), performed on a clinical specimen, specific for</w:t>
        <w:br/>
        <w:t>Cryptococcus gattii</w:t>
        <w:br/>
        <w:t>.</w:t>
        <w:br/>
        <w:t>Criteria to Distinguish a New Case from an Existing Case</w:t>
        <w:br/>
        <w:t>Cryptococcal infection is presumed to be chronic. A person may be a case only once. A new case is one that has not been previously reported.</w:t>
        <w:br/>
        <w:t>Case Classification</w:t>
        <w:br/>
        <w:t>Confirmed</w:t>
        <w:br/>
        <w:t>A case meeting the laboratory criteria.</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