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https://ndc.services.cdc.gov/case-definitions/cryptosporidiosis-2009/</w:t>
      </w:r>
    </w:p>
    <w:p>
      <w:r>
        <w:t>Cryptosporidiosis (Cryptosporidium spp.) 2009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Cryptosporidiosis (</w:t>
        <w:br/>
        <w:t>Cryptosporidium</w:t>
        <w:br/>
        <w:t>spp.)</w:t>
        <w:br/>
        <w:t>2009 Case Definition</w:t>
        <w:br/>
        <w:t>Cryptosporidiosis (</w:t>
        <w:br/>
        <w:t>Cryptosporidium</w:t>
        <w:br/>
        <w:t>spp.)</w:t>
        <w:br/>
        <w:t>2009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09-ID-32</w:t>
        <w:br/>
        <w:t>Clinical Description</w:t>
        <w:br/>
        <w:t>An illness characterized by watery diarrhea, abdominal cramps, loss of appetite, low-grade fever, nausea and vomiting. The disease can be prolonged and life-threatening in severely immunocompromised persons.</w:t>
        <w:br/>
        <w:t>Laboratory Criteria For Diagnosis</w:t>
        <w:br/>
        <w:t>Laboratory-confirmed cryptosporidiosis shall be defined as the detection of a member of the genus</w:t>
        <w:br/>
        <w:t>Cryptosporidium</w:t>
        <w:br/>
        <w:t>by one of the following methods:</w:t>
        <w:br/>
        <w:t>Organisms in stool, intestinal fluid, or tissue samples or biopsy specimens</w:t>
        <w:br/>
        <w:t>Antigens in stool or intestinal fluid,</w:t>
        <w:br/>
        <w:t>OR</w:t>
        <w:br/>
        <w:t>Nucleic acid by polymerase chain reaction (PCR) in stool, intestinal fluid, or tissue samples or biopsy specimens</w:t>
        <w:br/>
        <w:t>Case Classification</w:t>
        <w:br/>
        <w:t>Probable</w:t>
        <w:br/>
        <w:t>A case that meets the clinical description and that is epidemiologically linked to a confirmed case.</w:t>
        <w:br/>
        <w:t>Confirmed</w:t>
        <w:br/>
        <w:t>A case that meets the clinical description and at least one of the criteria for laboratory-confirmation as described above. When available, species designation and molecular characterization should be reported.</w:t>
        <w:br/>
        <w:t>Comments</w:t>
        <w:br/>
        <w:t>The 2009 case definition appearing on this page was re-published in the 2009 CSTE position statement 09-ID-32. Thus, the 2009 and 2010 versions of the case definition are identical.</w:t>
        <w:br/>
        <w:t>Related Case Definition(s)</w:t>
        <w:br/>
        <w:t>Cryptosporidiosis (</w:t>
        <w:br/>
        <w:t>Cryptosporidium</w:t>
        <w:br/>
        <w:t>spp.) | 2012 Case Definition</w:t>
        <w:br/>
        <w:t>Cryptosporidiosis (</w:t>
        <w:br/>
        <w:t>Cryptosporidium</w:t>
        <w:br/>
        <w:t>spp.) | 2011 Case Definition</w:t>
        <w:br/>
        <w:t>Cryptosporidiosis (</w:t>
        <w:br/>
        <w:t>Cryptosporidium</w:t>
        <w:br/>
        <w:t>spp.) | 1998 Case Definition</w:t>
        <w:br/>
        <w:t>Cryptosporidiosis (</w:t>
        <w:br/>
        <w:t>Cryptosporidium</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