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https://ndc.services.cdc.gov/case-definitions/diphtheria-1990/</w:t>
      </w:r>
    </w:p>
    <w:p>
      <w:r>
        <w:t>Diphtheria (Corynebacterium diphtheriae)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Diphtheria (</w:t>
        <w:br/>
        <w:t>Corynebacterium diphtheriae</w:t>
        <w:br/>
        <w:t>)</w:t>
        <w:br/>
        <w:t>1990 Case Definition</w:t>
        <w:br/>
        <w:t>Diphtheria (</w:t>
        <w:br/>
        <w:t>Corynebacterium diphtheriae</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upper respiratory tract illness characterized by sore throat, low-grade fever, and an adherent membrane of the tonsil(s), pharynx, and/or nose without other apparent cause (as reported by a health professional)</w:t>
        <w:br/>
        <w:t>Laboratory Criteria For Diagnosis</w:t>
        <w:br/>
        <w:t>Isolation of</w:t>
        <w:br/>
        <w:t>Corynebacterium diphtheriae</w:t>
        <w:br/>
        <w:t>from a clinical specimen</w:t>
        <w:br/>
        <w:t>Case Classification</w:t>
        <w:br/>
        <w:t>Probable</w:t>
        <w:br/>
        <w:t>Meets the clinical case definition, is not laboratory confirmed, and is not epidemiologically linked to a laboratory-confirmed case</w:t>
        <w:br/>
        <w:t>Confirmed</w:t>
        <w:br/>
        <w:t>Meets the clinical case definition and is either laboratory confirmed or epidemiologically linked to a laboratory-confirmed case</w:t>
        <w:br/>
        <w:t>Comments</w:t>
        <w:br/>
        <w:t>Cutaneous diphtheria should not be reported.</w:t>
        <w:br/>
        <w:t>Related Case Definition(s)</w:t>
        <w:br/>
        <w:t>Diphtheria (</w:t>
        <w:br/>
        <w:t>Corynebacterium diphtheriae</w:t>
        <w:br/>
        <w:t>) | 2019 Case Definition</w:t>
        <w:br/>
        <w:t>Diphtheria (</w:t>
        <w:br/>
        <w:t>Corynebacterium diphtheriae</w:t>
        <w:br/>
        <w:t>) | 2010 Case Definition</w:t>
        <w:br/>
        <w:t>Diphtheria (</w:t>
        <w:br/>
        <w:t>Corynebacterium diphtheriae</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