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https://ndc.services.cdc.gov/case-definitions/genital-herpes-1996/</w:t>
      </w:r>
    </w:p>
    <w:p>
      <w:r>
        <w:t>Genital Herpes (Herpes Simplex Virus) 1996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Genital Herpes (Herpes Simplex Virus)</w:t>
        <w:br/>
        <w:t>1996 Case Definition</w:t>
        <w:br/>
        <w:t>Genital Herpes (Herpes Simplex Virus)</w:t>
        <w:br/>
        <w:t>1996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 condition characterized by visible, painful genital or anal lesions</w:t>
        <w:br/>
        <w:t>Laboratory Criteria For Diagnosis</w:t>
        <w:br/>
        <w:t>Isolation of herpes simplex virus from cervix, urethra, or anogenital lesion,</w:t>
        <w:br/>
        <w:t>OR</w:t>
        <w:br/>
        <w:t>Demonstration of virus by antigen detection technique in clinical specimens from cervix, urethra, or anogenital lesion,</w:t>
        <w:br/>
        <w:t>OR</w:t>
        <w:br/>
        <w:t>Demonstration of multinucleated giant cells on a Tzanck smear of scrapings from an anogenital lesion</w:t>
        <w:br/>
        <w:t>Case Classification</w:t>
        <w:br/>
        <w:t>Probable</w:t>
        <w:br/>
        <w:t>A clinically compatible case (in which primary and secondary syphilis have been excluded by appropriate serologic tests and darkfield microscopy, when available) with either a diagnosis of genital herpes based on clinical presentation (without laboratory confirmation) or a history of one or more previous episodes of similar genital lesions</w:t>
        <w:br/>
        <w:t>Confirmed</w:t>
        <w:br/>
        <w:t>A clinically compatible case that is laboratory confirmed</w:t>
        <w:br/>
        <w:t>Comments</w:t>
        <w:br/>
        <w:t>Genital herpes should be reported only once per patient. The first diagnosis for a patient with no previous diagnosis should be reported.</w:t>
        <w:br/>
        <w:t>Related Case Definition(s)</w:t>
        <w:br/>
        <w:t>Genital Herpes (Herpes Simplex Virus)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