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https://ndc.services.cdc.gov/case-definitions/genital-warts-1990/</w:t>
      </w:r>
    </w:p>
    <w:p>
      <w:r>
        <w:t>Genital Warts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Genital Warts</w:t>
        <w:br/>
        <w:t>1990 Case Definition</w:t>
        <w:br/>
        <w:t>Genital Warts</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infection characterized by the presence of visible, exophytic (raised) growths on the internal or external genitalia, perineum, or perianal region</w:t>
        <w:br/>
        <w:t>Laboratory Criteria For Diagnosis</w:t>
        <w:br/>
        <w:t>Histopathologic changes characteristic of human papillomavirus (HPV) infection on biopsy or exfoliative cytology</w:t>
        <w:br/>
        <w:t>Case Classification</w:t>
        <w:br/>
        <w:t>Probable</w:t>
        <w:br/>
        <w:t>A clinically compatible case without histopathologic diagnosis and without microscopic or serologic evidence that the growth is due to secondary syphilis</w:t>
        <w:br/>
        <w:t>Confirmed</w:t>
        <w:br/>
        <w:t>A clinically compatible case that is laboratory confirmed</w:t>
        <w:br/>
        <w:t>Related Case Definition(s)</w:t>
        <w:br/>
        <w:t>Genital Warts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