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https://ndc.services.cdc.gov/case-definitions/hepatitis-a-acute-2000/</w:t>
      </w:r>
    </w:p>
    <w:p>
      <w:r>
        <w:t>Hepatitis A, Acute 2000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Hepatitis A, Acute</w:t>
        <w:br/>
        <w:t>2000 Case Definition</w:t>
        <w:br/>
        <w:t>Hepatitis A, Acute</w:t>
        <w:br/>
        <w:t>2000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09-ID-39</w:t>
        <w:br/>
        <w:t>Clinical Description</w:t>
        <w:br/>
        <w:t>An acute illness with a) discrete onset of symptoms and b) jaundice or elevated serum aminotransferase levels.</w:t>
        <w:br/>
        <w:t>Laboratory Criteria For Diagnosis</w:t>
        <w:br/>
        <w:t>Immunoglobulin M (IgM) antibody to hepatitis A virus (anti-HAV) positive</w:t>
        <w:br/>
        <w:t>Case Classification</w:t>
        <w:br/>
        <w:t>Confirmed</w:t>
        <w:br/>
        <w:t>A case that meets the clinical case definition and is laboratory confirmed,</w:t>
        <w:br/>
        <w:t>OR</w:t>
        <w:br/>
        <w:t>A case that meets the clinical case definition and occurs in a person who has an epidemiologic link with a person who has laboratory-confirmed hepatitis A (i.e., household or sexual contact with an infected person during the 15-50 days before the onset of symptoms)</w:t>
        <w:br/>
        <w:t>Comments</w:t>
        <w:br/>
        <w:t>The 2000 case definition appearing on this page was re-published in the 2009 CSTE position statement 09-ID-39. Thus, the 2000 and 2010 versions of the case definition are identical.</w:t>
        <w:br/>
        <w:t>Related Case Definition(s)</w:t>
        <w:br/>
        <w:t>Hepatitis A, Acute | 2019 Case Definition</w:t>
        <w:br/>
        <w:t>Hepatitis A, Acute | 2012 Case Definition</w:t>
        <w:br/>
        <w:t>Hepatitis A, Acute | 2011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