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https://ndc.services.cdc.gov/case-definitions/hepatitis-c-past-or-present-2005/</w:t>
      </w:r>
    </w:p>
    <w:p>
      <w:r>
        <w:t>Hepatitis C, Past or Present 2005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Past or Present</w:t>
        <w:br/>
        <w:t>2005 Case Definition</w:t>
        <w:br/>
        <w:t>Hepatitis C, Past or Present</w:t>
        <w:br/>
        <w:t>2005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Most hepatitis C virus (HCV)-infected persons are asymptomatic. However, many have chronic liver disease, which can range from mild to severe including cirrhosis and liver cancer.</w:t>
        <w:br/>
        <w:t>Laboratory Criteria For Diagnosis</w:t>
        <w:br/>
        <w:t>Anti-HCV positive (repeat reactive) by enzyme immunoassay (EIA), verified by an additional more specific assay (e.g., recombinant immunoblot assay [RIBA] for anti-HCV or nucleic acid testing for HCV ribonucleic acid [RNA]),</w:t>
        <w:br/>
        <w:t>OR</w:t>
        <w:br/>
        <w:t>HCV RIBA positive,</w:t>
        <w:br/>
        <w:t>OR</w:t>
        <w:br/>
        <w:t>Nucleic acid test for HCV RNA positive,</w:t>
        <w:br/>
        <w:t>OR</w:t>
        <w:br/>
        <w:t>Report of HCV genotype,</w:t>
        <w:br/>
        <w:t>OR</w:t>
        <w:br/>
        <w:t>Anti-HCV screening-test-positive with a signal to cut-off ratio predictive of a true positive as determined for the particular assay (e.g., ≥3.8 for the EIA) as determined and posted by CDC.</w:t>
        <w:br/>
        <w:t>Case Classification</w:t>
        <w:br/>
        <w:t>Probable</w:t>
        <w:br/>
        <w:t>A case that is anti-HCV positive (repeat reactive) by EIA and has alanine aminotranferase (ALT or SGPT) values above the upper limit of normal, but the anti-HCV EIA result has not been verified by an additional more specific assay or the signal to cutoff ratio is unknown.</w:t>
        <w:br/>
        <w:t>Confirmed</w:t>
        <w:br/>
        <w:t>A case that is laboratory confirmed and that does not meet the case definition for acute hepatitis C.</w:t>
        <w:br/>
        <w:t>Related Case Definition(s)</w:t>
        <w:br/>
        <w:t>Hepatitis C, Chronic | 2020 Case Definition</w:t>
        <w:br/>
        <w:t>Hepatitis C, Chronic | 2016 Case Definition</w:t>
        <w:br/>
        <w:t>Hepatitis C, Past or Present | 2012 Case Definition</w:t>
        <w:br/>
        <w:t>Hepatitis C, Past or Present | 2011 Case Definition</w:t>
        <w:br/>
        <w:t>Hepatitis C, Chronic | 2010 Case Definition</w:t>
        <w:br/>
        <w:t>Hepatitis C, Past or Present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