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https://ndc.services.cdc.gov/case-definitions/invasive-cronobacter-infection-among-infants-2024/</w:t>
      </w:r>
    </w:p>
    <w:p>
      <w:r>
        <w:t>Invasive Cronobacter infection Among Infants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Invasive</w:t>
        <w:br/>
        <w:t>Cronobacter</w:t>
        <w:br/>
        <w:t>infection Among Infants</w:t>
        <w:br/>
        <w:t>2024 Case Definition</w:t>
        <w:br/>
        <w:t>Invasive</w:t>
        <w:br/>
        <w:t>Cronobacter</w:t>
        <w:br/>
        <w:t>infection Among Infants</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23-ID-03</w:t>
        <w:br/>
        <w:t>Background</w:t>
        <w:br/>
        <w:t>Cronobacter</w:t>
        <w:br/>
        <w:t>spp. belong to the order</w:t>
        <w:br/>
        <w:t>Enterobacterales</w:t>
        <w:br/>
        <w:t>, which are Gram-negative bacteria.</w:t>
        <w:br/>
        <w:t>1</w:t>
        <w:br/>
        <w:t>Cronobacter</w:t>
        <w:br/>
        <w:t>spp. are opportunistic pathogens linked to illnesses and outbreaks of life-threatening necrotizing enterocolitis, meningitis, and sepsis in neonates, infants, and other susceptible populations.</w:t>
        <w:br/>
        <w:t>2</w:t>
        <w:br/>
        <w:t>In 2008, the bacteria were reclassified under the genus</w:t>
        <w:br/>
        <w:t>Cronobacter</w:t>
        <w:br/>
        <w:t>which replaced the former single species</w:t>
        <w:br/>
        <w:t>Enterobacter sakazakii</w:t>
        <w:br/>
        <w:t>.</w:t>
        <w:br/>
        <w:t>3</w:t>
        <w:br/>
        <w:t>To date, the most clinically relevant species are</w:t>
        <w:br/>
        <w:t>C. sakazakii</w:t>
        <w:br/>
        <w:t>and</w:t>
        <w:br/>
        <w:t>C. malonaticus</w:t>
        <w:br/>
        <w:t>, which are recognized as causing invasive disease in infants.</w:t>
        <w:br/>
        <w:t>2</w:t>
        <w:br/>
        <w:t>Clinical Criteria</w:t>
        <w:br/>
        <w:t>In the absence of a more likely alternative diagnosis, an acute illness in an infant characterized by an invasive infection, including but not limited to meningitis, cerebral abscess, sepsis, necrotizing enterocolitis, or urinary tract infection.</w:t>
        <w:br/>
        <w:t>Laboratory Criteria</w:t>
        <w:br/>
        <w:t>Confirmatory Laboratory Evidence:</w:t>
        <w:br/>
        <w:t>Isolation by culture of</w:t>
        <w:br/>
        <w:t>Cronobacter</w:t>
        <w:br/>
        <w:t>in a clinical specimen from a normally sterile site (e.g., blood or cerebrospinal fluid).</w:t>
        <w:br/>
        <w:t>Supportive Laboratory Evidence:</w:t>
        <w:br/>
        <w:t>Isolation of</w:t>
        <w:br/>
        <w:t>Cronobacter</w:t>
        <w:br/>
        <w:t>spp</w:t>
        <w:br/>
        <w:t>.</w:t>
        <w:br/>
        <w:t>in a clinical specimen from a non-sterile site (e.g., stool or rectum, urine, skin, respiratory secretions, or broncho-alveolar lavage, etc.)*.</w:t>
        <w:br/>
        <w:t>Note</w:t>
        <w:br/>
        <w:t>:</w:t>
        <w:br/>
        <w:t>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w:t>
        <w:br/>
        <w:t>Whether and how public health conducts follow-up for isolation of Cronobacter spp. from a non-sterile site in the absence of clinical disease is at the discretion of the jurisdiction.</w:t>
        <w:br/>
        <w:t>Epidemiologic Linkage</w:t>
        <w:br/>
        <w:t>Epidemiologic risk factors within 7 days prior to illness onset in an infant:</w:t>
        <w:br/>
        <w:t>Consumption of powdered infant formula (PIF) implicated as the source of infection,</w:t>
        <w:br/>
        <w:t>OR</w:t>
        <w:br/>
        <w:t>Exposure to a non-PIF product, such as breast milk, implicated as the source of infection,</w:t>
        <w:br/>
        <w:t>OR</w:t>
        <w:br/>
        <w:t>Residing in a congregate setting (e.g., a neonatal intensive care unit [NICU]) with an active</w:t>
        <w:br/>
        <w:t>Cronobacter</w:t>
        <w:br/>
        <w:t>outbreak.</w:t>
        <w:br/>
        <w:t>Criteria to Distinguish a New Case from an Existing Case</w:t>
        <w:br/>
        <w:t>A new case should be enumerated when:</w:t>
        <w:br/>
        <w:t>An infant was previously reported but not enumerated as a confirmed, probable, or suspect case, but now meets the criteria for a confirmed, probable, or suspect case,</w:t>
        <w:br/>
        <w:t>OR</w:t>
        <w:br/>
        <w:t>An infant most recently enumerated as a suspect case with supportive laboratory evidence with specimen collection date for that classification within 90 days</w:t>
        <w:br/>
        <w:t>‡</w:t>
        <w:br/>
        <w:t>prior but now meets the confirmed case classification,</w:t>
        <w:br/>
        <w:t>OR</w:t>
        <w:br/>
        <w:t>WGS results indicate that a new positive specimen and a prior positive specimen are genetically distinct.</w:t>
        <w:br/>
        <w:t>‡</w:t>
        <w:br/>
        <w:t>This time frame may be revised in future position statements if more information indicates a different period is more appropriate.</w:t>
        <w:br/>
        <w:t>Case Classification</w:t>
        <w:br/>
        <w:t>Suspect</w:t>
        <w:br/>
        <w:t>Meets clinical criteria</w:t>
        <w:br/>
        <w:t>AND</w:t>
        <w:br/>
        <w:t>supportive laboratory evidence,</w:t>
        <w:br/>
        <w:t>OR</w:t>
        <w:br/>
        <w:t>Meets clinical criteria</w:t>
        <w:br/>
        <w:t>AND</w:t>
        <w:br/>
        <w:t>epidemiologic linkage criteria.</w:t>
        <w:br/>
        <w:t>Probable</w:t>
        <w:br/>
        <w:t>Meets clinical criteria</w:t>
        <w:br/>
        <w:t>AND</w:t>
        <w:br/>
        <w:t>epidemiologic linkage criteria</w:t>
        <w:br/>
        <w:t>AND</w:t>
        <w:br/>
        <w:t>supportive laboratory evidence.</w:t>
        <w:br/>
        <w:t>Confirmed</w:t>
        <w:br/>
        <w:t>Meets clinical criteria</w:t>
        <w:br/>
        <w:t>AND</w:t>
        <w:br/>
        <w:t>confirmatory laboratory evidence.</w:t>
        <w:br/>
        <w:t>Comments</w:t>
        <w:br/>
        <w:t>CDC requests that all</w:t>
        <w:br/>
        <w:t>Cronobacter</w:t>
        <w:br/>
        <w:t>isolates be forwarded to the Enteric Diseases Laboratory Branch for further characterization, available at:</w:t>
        <w:br/>
        <w:t>https://www.cdc.gov/laboratory/specimen-submission/detail.html</w:t>
        <w:br/>
        <w:t>.</w:t>
        <w:br/>
        <w:t>References</w:t>
        <w:br/>
        <w:t>1. Forsythe, S. J. (2015). New insights into the emergent bacterial pathogen Cronobacter. Food Safety, 265–308.</w:t>
        <w:br/>
        <w:t>https://doi.org/10.1016/b978-0-12-800245-2.00013-7.</w:t>
        <w:br/>
        <w:t>2. Forsythe, S. J. (2018). Updates on the</w:t>
        <w:br/>
        <w:t>Cronobacter</w:t>
        <w:br/>
        <w:t>genus. Annual Review of Food Science and Technology, 9(1), 23–44.</w:t>
        <w:br/>
        <w:t>https://doi.org/10.1146/annurev-food-030117-012246</w:t>
        <w:br/>
        <w:t>.</w:t>
        <w:br/>
        <w:t>3. Iversen, C., Mullane, N., McCardell, B., Tall, B. D., Lehner, A., Fanning, S., Stephan, R., &amp; Joosten, H. (2008).</w:t>
        <w:br/>
        <w:t>Cronobacter</w:t>
        <w:br/>
        <w:t>gen. nov., a new genus to accommodate the biogroups of</w:t>
        <w:br/>
        <w:t>Enterobacter sakazakii</w:t>
        <w:br/>
        <w:t>, and proposal of</w:t>
        <w:br/>
        <w:t>Cronobacter sakazakii</w:t>
        <w:br/>
        <w:t>gen. nov., comb. nov.,</w:t>
        <w:br/>
        <w:t>Cronobacter malonaticus</w:t>
        <w:br/>
        <w:t>sp. nov.,</w:t>
        <w:br/>
        <w:t>Cronobacter turicensis</w:t>
        <w:br/>
        <w:t>sp. nov.,</w:t>
        <w:br/>
        <w:t>Cronobacter muytjensii</w:t>
        <w:br/>
        <w:t>sp. nov.,</w:t>
        <w:br/>
        <w:t>Cronobacter dublinensis</w:t>
        <w:br/>
        <w:t>sp. nov.,</w:t>
        <w:br/>
        <w:t>Cronobacter</w:t>
        <w:br/>
        <w:t>genomospecies 1, and of three subspecies,</w:t>
        <w:br/>
        <w:t>Cronobacter dublinensis</w:t>
        <w:br/>
        <w:t>subsp.</w:t>
        <w:br/>
        <w:t>dublinensis</w:t>
        <w:br/>
        <w:t>subsp. nov.,</w:t>
        <w:br/>
        <w:t>Cronobacter dublinensis</w:t>
        <w:br/>
        <w:t>subsp.</w:t>
        <w:br/>
        <w:t>lausannensis</w:t>
        <w:br/>
        <w:t>subsp. nov. and</w:t>
        <w:br/>
        <w:t>Cronobacter dublinensis</w:t>
        <w:br/>
        <w:t>subsp.</w:t>
        <w:br/>
        <w:t>lactaridi</w:t>
        <w:br/>
        <w:t>subsp. nov.</w:t>
        <w:br/>
        <w:t>International journal of systematic and evolutionary microbiology</w:t>
        <w:br/>
        <w:t>,</w:t>
        <w:br/>
        <w:t>58</w:t>
        <w:br/>
        <w:t>(Pt 6), 1442–1447.</w:t>
        <w:br/>
        <w:t>https://doi.org/10.1099/ijs.0.65577-0</w:t>
        <w:br/>
        <w:t>.</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