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https://ndc.services.cdc.gov/case-definitions/kawasaki-syndrome-1990/</w:t>
      </w:r>
    </w:p>
    <w:p>
      <w:r>
        <w:t>Kawasaki Syndrome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Kawasaki Syndrome</w:t>
        <w:br/>
        <w:t>1990 Case Definition</w:t>
        <w:br/>
        <w:t>Kawasaki Syndrome</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febrile illness of greater than or equal to 5 days' duration, with at least four of the five following physical findings and no other more reasonable explanation for the observed clinical findings:</w:t>
        <w:br/>
        <w:t>Bilateral conjunctival injection</w:t>
        <w:br/>
        <w:t>Oral changes (erythema of lips or oropharynx, strawberry tongue, or fissuring of the lips)</w:t>
        <w:br/>
        <w:t>Peripheral extremity changes (edema, erythema, or generalized or periungual desquamation)</w:t>
        <w:br/>
        <w:t>Rash</w:t>
        <w:br/>
        <w:t>Cervical lymphadenopathy (at least one lymph node greater than or equal to 1.5 cm in diameter)</w:t>
        <w:br/>
        <w:t>Case Classification</w:t>
        <w:br/>
        <w:t>Confirmed</w:t>
        <w:br/>
        <w:t>A case that meets the clinical case definition</w:t>
        <w:br/>
        <w:t>Comments</w:t>
        <w:br/>
        <w:t>If fever disappears after intravenous gamma globulin therapy is started, fever may be of less than 5 days' duration, and the clinical case definition may still be met.</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