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https://ndc.services.cdc.gov/case-definitions/legionellosis-1996/</w:t>
      </w:r>
    </w:p>
    <w:p>
      <w:r>
        <w:t>Legionellosis / Legionnaires' Disease or Pontiac Fever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Legionellosis / Legionnaires' Disease or Pontiac Fever</w:t>
        <w:br/>
        <w:t>1996 Case Definition</w:t>
        <w:br/>
        <w:t>Legionellosis / Legionnaires' Disease or Pontiac Fever</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Legionellosis is associated with two clinically and epidemiologically distinct illnesses: Legionnaires’ disease, which is characterized by fever, myalgia, cough, pneumonia, and Pontiac fever, a milder illness without pneumonia.</w:t>
        <w:br/>
        <w:t>Laboratory Criteria For Diagnosis</w:t>
        <w:br/>
        <w:t>Isolation of</w:t>
        <w:br/>
        <w:t>Legionella</w:t>
        <w:br/>
        <w:t>from respiratory secretions, lung tissue, pleural fluid, or other normally sterile fluids,</w:t>
        <w:br/>
        <w:t>OR</w:t>
        <w:br/>
        <w:t>Demonstration of a fourfold or greater rise in the reciprocal immunofluorescence antibody (IFA) titer to greater than or equal to 128 against</w:t>
        <w:br/>
        <w:t>Legionella pneumophila</w:t>
        <w:br/>
        <w:t>serogroup 1 between paired acute- and convalescent-phase serum specimens,</w:t>
        <w:br/>
        <w:t>OR</w:t>
        <w:br/>
        <w:t>Detection of</w:t>
        <w:br/>
        <w:t>L. pneumophila</w:t>
        <w:br/>
        <w:t>serogroup 1 in respiratory secretions, lung tissue, or pleural fluid by direct fluorescent antibody testing,</w:t>
        <w:br/>
        <w:t>OR</w:t>
        <w:br/>
        <w:t>Demonstration of</w:t>
        <w:br/>
        <w:t>L. pneumophila</w:t>
        <w:br/>
        <w:t>serogroup 1 antigens in urine by radioimmunoassay or enzyme-linked immunosorbent assay</w:t>
        <w:br/>
        <w:t>Case Classification</w:t>
        <w:br/>
        <w:t>Confirmed</w:t>
        <w:br/>
        <w:t>A clinically compatible case that is laboratory confirmed</w:t>
        <w:br/>
        <w:t>Comments</w:t>
        <w:br/>
        <w:t>The previously used category of "probable case," which was based on a single IFA titer, lacks specificity for surveillance and is no longer used.</w:t>
        <w:br/>
        <w:t>Related Case Definition(s)</w:t>
        <w:br/>
        <w:t>Legionellosis: Legionnaires' Disease, Pontiac Fever or Extrapulmonary Legionellosis | 2020 Case Definition</w:t>
        <w:br/>
        <w:t>Legionellosis / Legionnaires' Disease or Pontiac Fever | 2005 Case Definition</w:t>
        <w:br/>
        <w:t>Legionellosis / Legionnaires' Disease or Pontiac Fever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