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https://ndc.services.cdc.gov/case-definitions/leptospirosis-1997/</w:t>
      </w:r>
    </w:p>
    <w:p>
      <w:r>
        <w:t>Leptospirosis (Leptospira interrogans)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Leptospirosis (</w:t>
        <w:br/>
        <w:t>Leptospira interrogans</w:t>
        <w:br/>
        <w:t>)</w:t>
        <w:br/>
        <w:t>1997 Case Definition</w:t>
        <w:br/>
        <w:t>Leptospirosis (</w:t>
        <w:br/>
        <w:t>Leptospira interrogans</w:t>
        <w:br/>
        <w:t>)</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fever, headache, chills, myalgia, conjunctival suffusion, and less frequently by meningitis, rash, jaundice, or renal insufficiency. Symptoms may be biphasic.</w:t>
        <w:br/>
        <w:t>Laboratory Criteria For Diagnosis</w:t>
        <w:br/>
        <w:t>Isolation of</w:t>
        <w:br/>
        <w:t>Leptospira</w:t>
        <w:br/>
        <w:t>from a clinical specimen,</w:t>
        <w:br/>
        <w:t>OR</w:t>
        <w:br/>
        <w:t>Fourfold or greater increase in</w:t>
        <w:br/>
        <w:t>Leptospira</w:t>
        <w:br/>
        <w:t>agglutination titer between acute- and convalescent-phase serum specimens obtained greater than or equal to 2 weeks apart and studied at the same laboratory,</w:t>
        <w:br/>
        <w:t>OR</w:t>
        <w:br/>
        <w:t>Demonstration of</w:t>
        <w:br/>
        <w:t>Leptospira</w:t>
        <w:br/>
        <w:t>in a clinical specimen by immunofluorescence</w:t>
        <w:br/>
        <w:t>Case Classification</w:t>
        <w:br/>
        <w:t>Probable</w:t>
        <w:br/>
        <w:t>A clinically compatible case with supportive serologic findings (i.e., a</w:t>
        <w:br/>
        <w:t>Leptospira</w:t>
        <w:br/>
        <w:t>agglutination titer of greater than or equal to 200 in one or more serum specimens)</w:t>
        <w:br/>
        <w:t>Confirmed</w:t>
        <w:br/>
        <w:t>A clinically compatible case that is laboratory confirmed</w:t>
        <w:br/>
        <w:t>Comments</w:t>
        <w:br/>
        <w:t>The 1997 case definition appearing on this page was previously published in the 1990</w:t>
        <w:br/>
        <w:t>MMWR</w:t>
        <w:br/>
        <w:t>Recommendations and Reports titled</w:t>
        <w:br/>
        <w:t>Case Definitions for Public Health Surveillance</w:t>
        <w:br/>
        <w:t>.</w:t>
        <w:br/>
        <w:t>1</w:t>
        <w:br/>
        <w:t>Thus, the 1990 and 1997 versions of the case definition are identical.</w:t>
        <w:br/>
        <w:t>References</w:t>
        <w:br/>
        <w:t>CDC. (1990). Case Definitions for Public Health Surveillance.</w:t>
        <w:br/>
        <w:t>MMWR</w:t>
        <w:br/>
        <w:t>, 39(RR-13), 1-43.</w:t>
        <w:br/>
        <w:t>https://www.cdc.gov/mmwr/preview/mmwrhtml/00025629.htm</w:t>
        <w:br/>
        <w:t>Related Case Definition(s)</w:t>
        <w:br/>
        <w:t>Leptospirosis (</w:t>
        <w:br/>
        <w:t>Leptospira interrogans</w:t>
        <w:br/>
        <w:t>) | 2025 Case Definition</w:t>
        <w:br/>
        <w:t>Leptospirosis (</w:t>
        <w:br/>
        <w:t>Leptospira interrogans</w:t>
        <w:br/>
        <w:t>) | 2013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