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https://ndc.services.cdc.gov/case-definitions/listeriosis-2000/</w:t>
      </w:r>
    </w:p>
    <w:p>
      <w:r>
        <w:t>Listeriosis (Listeria monocytogenes) 2000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Listeriosis (</w:t>
        <w:br/>
        <w:t>Listeria monocytogenes</w:t>
        <w:br/>
        <w:t>)</w:t>
        <w:br/>
        <w:t>2000 Case Definition</w:t>
        <w:br/>
        <w:t>Listeriosis (</w:t>
        <w:br/>
        <w:t>Listeria monocytogenes</w:t>
        <w:br/>
        <w:t>)</w:t>
        <w:br/>
        <w:t>2000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99-ID-03</w:t>
        <w:br/>
        <w:t>Clinical Description</w:t>
        <w:br/>
        <w:t>In adults, invasive disease caused by</w:t>
        <w:br/>
        <w:t>Listeria monocytogenes</w:t>
        <w:br/>
        <w:t>manifests most commonly as meningitis or bacteremia; infection during pregnancy may result in fetal loss through miscarriage or stillbirth, or neonatal meningitis or bacteremia. Other manifestations can also be observed.</w:t>
        <w:br/>
        <w:t>Laboratory Criteria For Diagnosis</w:t>
        <w:br/>
        <w:t>Isolation of</w:t>
        <w:br/>
        <w:t>L. monocytogenes</w:t>
        <w:br/>
        <w:t>from a normally sterile site (e.g., blood or cerebrospinal fluid [CSF] or, less commonly, joint, pleural, or pericardial fluid)</w:t>
        <w:br/>
        <w:t>In the setting of miscarriage or stillbirth, isolation of</w:t>
        <w:br/>
        <w:t>L. monocytogenes</w:t>
        <w:br/>
        <w:t>from placental or fetal tissue</w:t>
        <w:br/>
        <w:t>Case Classification</w:t>
        <w:br/>
        <w:t>Confirmed</w:t>
        <w:br/>
        <w:t>A clinically compatible case that is laboratory-confirmed</w:t>
        <w:br/>
        <w:t>Comments</w:t>
        <w:br/>
        <w:t>The usefulness of other laboratory methods such as fluorescent antibody testing or polymerase chain reaction to diagnose invasive listeriosis has not been established.</w:t>
        <w:br/>
        <w:t>The 2000 case definition appearing on this page was re-published in the 2003 CSTE position statement 03-ID-01 and in the 2009 CSTE position statement 09-ID-46. Thus, the case definitions in CSTE position statements 99-ID-03, 03-ID-01, and 09-ID-46 are identical.</w:t>
        <w:br/>
        <w:t>Related Case Definition(s)</w:t>
        <w:br/>
        <w:t>Listeriosis (</w:t>
        <w:br/>
        <w:t>Listeria monocytogenes</w:t>
        <w:br/>
        <w:t>) | 2019 Case Definition</w:t>
        <w:br/>
        <w:t>Listeriosis (</w:t>
        <w:br/>
        <w:t>Listeria monocytogenes</w:t>
        <w:br/>
        <w:t>)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