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https://ndc.services.cdc.gov/case-definitions/melioidosis-2012/</w:t>
      </w:r>
    </w:p>
    <w:p>
      <w:r>
        <w:t>Melioidosis (Burkholderia pseudomallei)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Melioidosis (</w:t>
        <w:br/>
        <w:t>Burkholderia pseudomallei</w:t>
        <w:br/>
        <w:t>)</w:t>
        <w:br/>
        <w:t>2012 Case Definition</w:t>
        <w:br/>
        <w:t>Melioidosis (</w:t>
        <w:br/>
        <w:t>Burkholderia pseudomallei</w:t>
        <w:br/>
        <w:t>)</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Clinical presentation of the disease varies on a case by case basis. The following characteristics are typical of melioidosis.</w:t>
        <w:br/>
        <w:t>An acute or chronic localized infection which may or may not include symptoms of fever and muscle aches. Such infection often results in ulcer, nodule, or skin abscess.</w:t>
        <w:br/>
        <w:t>An acute pulmonary infection with symptoms of high fever, headache, chest pain, anorexia, and general muscle soreness.</w:t>
        <w:br/>
        <w:t>A bloodstream infection with symptoms of fever, headache, respiratory distress, abdominal discomfort, joint pain, muscle tenderness, and/or disorientation.</w:t>
        <w:br/>
        <w:t>A disseminated infection with symptoms of fever, weight loss, stomach or chest pain, muscle or joint pain, and/or headache or seizure. Abscesses in the liver, lung, spleen, and prostate are often observed in patients diagnosed with disseminated infections; less frequently, brain abscesses may be seen.</w:t>
        <w:br/>
        <w:t>Laboratory Criteria For Diagnosis</w:t>
        <w:br/>
        <w:t>Confirmed cases</w:t>
        <w:br/>
        <w:t>:</w:t>
        <w:br/>
        <w:t>Isolation of</w:t>
        <w:br/>
        <w:t>B. pseudomallei</w:t>
        <w:br/>
        <w:t>from a clinical specimen of a case of severe febrile illness: Culture of the organism may be done by blood, sputum, urine, pus, throat swab, or swabs from organ abscesses or wounds.</w:t>
        <w:br/>
        <w:t>Probable</w:t>
        <w:br/>
        <w:t>:</w:t>
        <w:br/>
        <w:t>Evidence of a fourfold or greater rise in</w:t>
        <w:br/>
        <w:t>B. pseudomallei</w:t>
        <w:br/>
        <w:t>antibody titer by IHA between acute- and convalescent-phase serum specimens obtained greater than or equal to 2 weeks apart.</w:t>
        <w:br/>
        <w:t>Evidence of</w:t>
        <w:br/>
        <w:t>B. pseudomallei</w:t>
        <w:br/>
        <w:t>DNA (for example, by LRN-validated polymerase chain reaction) in a clinical specimens collected from a normally sterile site (blood) or lesion of other affected tissue (abscesses, wound).</w:t>
        <w:br/>
        <w:t>Case Classification</w:t>
        <w:br/>
        <w:t>Probable</w:t>
        <w:br/>
        <w:t>A case that meets the clinical case definition, one or more of the probable lab criteria, and one of the following epidemiologic findings:</w:t>
        <w:br/>
        <w:t>History of travel to a melioidosis-endemic region,</w:t>
        <w:br/>
        <w:t>OR</w:t>
        <w:br/>
        <w:t>Known exposure to</w:t>
        <w:br/>
        <w:t>B. pseudomallei</w:t>
        <w:br/>
        <w:t>as a result of intentional release or occupational risk (lab exposure).</w:t>
        <w:br/>
        <w:t>Confirmed</w:t>
        <w:br/>
        <w:t>A case that is laboratory confirmed, with or without clinical evidence.</w:t>
        <w:br/>
        <w:t>Comments</w:t>
        <w:br/>
        <w:t>States and territories should also notify the CDC’s Bacterial Special Pathogens Branch of such cases by calling 404-639-1711 or emailing: bspb@cdc.gov.</w:t>
        <w:br/>
        <w:t>Related Case Definition(s)</w:t>
        <w:br/>
        <w:t>Melioidosis (</w:t>
        <w:br/>
        <w:t>Burkholderia pseudomallei</w:t>
        <w:br/>
        <w:t>) | 2023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