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https://ndc.services.cdc.gov/case-definitions/melioidosis-burkholderia-pseudomallei-2023/</w:t>
      </w:r>
    </w:p>
    <w:p>
      <w:r>
        <w:t>Melioidosis (Burkholderia pseudomallei) 2023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February 28, 2023</w:t>
        <w:br/>
        <w:t>Case Definitions</w:t>
        <w:br/>
        <w:t>Message Mapping Guides</w:t>
        <w:br/>
        <w:t>Supporting Documents for Implementation</w:t>
        <w:br/>
        <w:t>Event Codes &amp; Other Surveillance Resources</w:t>
        <w:br/>
        <w:t>Melioidosis (</w:t>
        <w:br/>
        <w:t>Burkholderia pseudomallei</w:t>
        <w:br/>
        <w:t>)</w:t>
        <w:br/>
        <w:t>2023 Case Definition</w:t>
        <w:br/>
        <w:t>Melioidosis (</w:t>
        <w:br/>
        <w:t>Burkholderia pseudomallei</w:t>
        <w:br/>
        <w:t>)</w:t>
        <w:br/>
        <w:t>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22-ID-08</w:t>
        <w:br/>
        <w:t>Background</w:t>
        <w:br/>
        <w:t>Melioidosis is caused by the environmental bacterium</w:t>
        <w:br/>
        <w:t>Burkholderia pseudomallei (B. pseudomallei)</w:t>
        <w:br/>
        <w:t>. Infection typically occurs through direct contact with contaminated soil or water via subcutaneous inoculation, ingestion, or inhalation. Person-to-person transmission is extremely rare.</w:t>
        <w:br/>
        <w:t>B. pseudomallei</w:t>
        <w:br/>
        <w:t>infection has been identified in humans and multiple animal species. The median incubation period is 9 days but ranges from a few hours to decades after exposure. There is no vaccine, and even with treatment, case fatality rates range from 10-50%.</w:t>
        <w:br/>
        <w:t>1</w:t>
        <w:br/>
        <w:t>Melioidosis may present as a localized infection, pneumonia, bacteremia, or disseminated infection. Patients generally present with acute illness, but 15% present with chronic infection, with symptoms lasting over two months.</w:t>
        <w:br/>
        <w:t>2</w:t>
        <w:br/>
        <w:t>Clinical presentation may overlap with other diseases, complicating the diagnosis.</w:t>
        <w:br/>
        <w:t>3</w:t>
        <w:br/>
        <w:t>Clinical Criteria</w:t>
        <w:br/>
        <w:t>In the absence of a more likely diagnosis, at least one of the following signs or symptoms:</w:t>
        <w:br/>
        <w:t>Fever (temperature &gt; 38.0°C [100.4°F])</w:t>
        <w:br/>
        <w:t>Muscle aches</w:t>
        <w:br/>
        <w:t>Ulcer</w:t>
        <w:br/>
        <w:t>Nodule</w:t>
        <w:br/>
        <w:t>Skin abscess</w:t>
        <w:br/>
        <w:t>Pneumonia</w:t>
        <w:br/>
        <w:t>Headache</w:t>
        <w:br/>
        <w:t>Chest pain</w:t>
        <w:br/>
        <w:t>Anorexia</w:t>
        <w:br/>
        <w:t>Respiratory distress</w:t>
        <w:br/>
        <w:t>Abdominal discomfort</w:t>
        <w:br/>
        <w:t>Joint pain</w:t>
        <w:br/>
        <w:t>Disorientation</w:t>
        <w:br/>
        <w:t>Weight loss</w:t>
        <w:br/>
        <w:t>Seizure</w:t>
        <w:br/>
        <w:t>Organ abscess (liver, lung, spleen, prostate, or brain)</w:t>
        <w:br/>
        <w:t>Encephalomyelitis/meningitis/extra-meningeal disease</w:t>
        <w:br/>
        <w:t>Laboratory Criteria</w:t>
        <w:br/>
        <w:t>Confirmatory laboratory evidence:</w:t>
        <w:br/>
        <w:t>Isolation of</w:t>
        <w:br/>
        <w:t>B. pseudomallei</w:t>
        <w:br/>
        <w:t>from a clinical specimen</w:t>
        <w:br/>
        <w:t>Presumptive laboratory evidence:</w:t>
        <w:br/>
        <w:t>Evidence of a fourfold or greater rise in</w:t>
        <w:br/>
        <w:t>B. pseudomallei</w:t>
        <w:br/>
        <w:t>antibody titer by indirect hemagglutination assay (IHA) between acute- and convalescent-phase serum specimens obtained at least two weeks apart,</w:t>
        <w:br/>
        <w:t>OR</w:t>
        <w:br/>
        <w:t>Evidence of</w:t>
        <w:br/>
        <w:t>B. pseudomallei</w:t>
        <w:br/>
        <w:t>deoxyribonucleic acid</w:t>
        <w:br/>
        <w:t>(</w:t>
        <w:br/>
        <w:t>DNA) (for example, by Laboratory Response Network [LRN]-validated nucleic acid amplification test) in a clinical specimen</w:t>
        <w:br/>
        <w:t>Supportive laboratory evidence:</w:t>
        <w:br/>
        <w:t>Single</w:t>
        <w:br/>
        <w:t>B. pseudomallei</w:t>
        <w:br/>
        <w:t>total antibody titer of greater than or equal to 1:40 by serology in one or more serum specimens</w:t>
        <w:br/>
        <w:t>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Epidemiologic Linkage</w:t>
        <w:br/>
        <w:t>A person with at least one of the following findings:</w:t>
        <w:br/>
        <w:t>History of travel to or residence in a region endemic for melioidosis,</w:t>
        <w:br/>
        <w:t>OR</w:t>
        <w:br/>
        <w:t>Known exposure to</w:t>
        <w:br/>
        <w:t>B. pseudomallei</w:t>
        <w:br/>
        <w:t>as a result of intentional release or known product/source exposure (outside of laboratory),</w:t>
        <w:br/>
        <w:t>OR</w:t>
        <w:br/>
        <w:t>Known exposure to</w:t>
        <w:br/>
        <w:t>B. pseudomallei</w:t>
        <w:br/>
        <w:t>as a result of an occupational risk (i.e., laboratory exposure)</w:t>
        <w:br/>
        <w:t>Criteria to Distinguish a New Case from an Existing Case</w:t>
        <w:br/>
        <w:t>An infection would be counted as a new infection if a person is culture-positive within an 18-month time period with an isolate that is distinct from the previous infection by whole genome sequencing.</w:t>
        <w:br/>
        <w:t>Note: Recurrent melioidosis can be defined as a re-presentation with</w:t>
        <w:br/>
        <w:t>B. pseudomallei</w:t>
        <w:br/>
        <w:t>culture-positive clinical disease occurring &lt;18 months following initial diagnosis and after the time designated for treatment completion (both intravenous and oral phases) for the previous episode, irrespective of whether the patient was adherent to the therapy or initially lost to follow-up. Recurrent cases will not be counted as a new case for surveillance purposes. Epidemiological and exposure information can be used to determine if it is a new or recurrent infection, as can whole genome sequencing, if an isolate is available.</w:t>
        <w:br/>
        <w:t>Case Classification</w:t>
        <w:br/>
        <w:t>Suspect</w:t>
        <w:br/>
        <w:t>Meets clinical criteria</w:t>
        <w:br/>
        <w:t>AND</w:t>
        <w:br/>
        <w:t>supportive laboratory evidence</w:t>
        <w:br/>
        <w:t>AND</w:t>
        <w:br/>
        <w:t>epidemiologic linkage.</w:t>
        <w:br/>
        <w:t>Meets vital records criteria</w:t>
        <w:br/>
        <w:t>AND</w:t>
        <w:br/>
        <w:t>supportive laboratory evidence</w:t>
        <w:br/>
        <w:t>AND</w:t>
        <w:br/>
        <w:t>epidemiologic linkage.</w:t>
        <w:br/>
        <w:t>Meets other criteria</w:t>
        <w:br/>
        <w:t>AND</w:t>
        <w:br/>
        <w:t>supportive laboratory evidence</w:t>
        <w:br/>
        <w:t>AND</w:t>
        <w:br/>
        <w:t>epidemiologic linkage.</w:t>
        <w:br/>
        <w:t>Probable</w:t>
        <w:br/>
        <w:t>Meets clinical criteria</w:t>
        <w:br/>
        <w:t>AND</w:t>
        <w:br/>
        <w:t>presumptive laboratory evidence</w:t>
        <w:br/>
        <w:t>AND</w:t>
        <w:br/>
        <w:t>epidemiologic linkage.</w:t>
        <w:br/>
        <w:t>Meets vital records criteria</w:t>
        <w:br/>
        <w:t>AND</w:t>
        <w:br/>
        <w:t>presumptive laboratory evidence</w:t>
        <w:br/>
        <w:t>AND</w:t>
        <w:br/>
        <w:t>epidemiologic linkage.</w:t>
        <w:br/>
        <w:t>Meets other criteria</w:t>
        <w:br/>
        <w:t>AND</w:t>
        <w:br/>
        <w:t>presumptive laboratory evidence</w:t>
        <w:br/>
        <w:t>AND</w:t>
        <w:br/>
        <w:t>epidemiologic linkage.</w:t>
        <w:br/>
        <w:t>Confirmed</w:t>
        <w:br/>
        <w:t>Meets confirmatory laboratory evidence.</w:t>
        <w:br/>
        <w:t>Other Criteria</w:t>
        <w:br/>
        <w:t>A person whose healthcare record contains a recent diagnosis of melioidosis</w:t>
        <w:br/>
        <w:t>Vital Records Criteria</w:t>
        <w:br/>
        <w:t>A person whose death certificate lists melioidosis as a cause of death or a significant condition contributing to death</w:t>
        <w:br/>
        <w:t>References</w:t>
        <w:br/>
        <w:t>Cheng, A. C. and B. J. Currie (2005). "Melioidosis: epidemiology, pathophysiology, and management."</w:t>
        <w:br/>
        <w:t>Clin Microbiol Rev</w:t>
        <w:br/>
        <w:t>, 18(2): 383-416.</w:t>
        <w:br/>
        <w:t>Currie, B. J., Ward, L., &amp; Cheng, A. C. (2010). The epidemiology and clinical spectrum of melioidosis: 540 cases from the 20 year Darwin prospective study.</w:t>
        <w:br/>
        <w:t>PLoS neglected tropical diseases</w:t>
        <w:br/>
        <w:t>,</w:t>
        <w:br/>
        <w:t>4</w:t>
        <w:br/>
        <w:t>(11), e900.</w:t>
        <w:br/>
        <w:t>Inglis TJ, Sousa, AQ. (2009). The Public Health Implications of Melioidosis.</w:t>
        <w:br/>
        <w:t>The Brazilian Journal of Infectious Diseases</w:t>
        <w:br/>
        <w:t>13(1):59-66.</w:t>
        <w:br/>
        <w:t>Related Case Definition(s)</w:t>
        <w:br/>
        <w:t>Melioidosis (</w:t>
        <w:br/>
        <w:t>Burkholderia pseudomallei</w:t>
        <w:br/>
        <w:t>) | 2012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