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https://ndc.services.cdc.gov/case-definitions/pertussis-1990/</w:t>
      </w:r>
    </w:p>
    <w:p>
      <w:r>
        <w:t>Pertussis / Whooping Cough (Bordetella pertussis)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1990 Case Definition</w:t>
        <w:br/>
        <w:t>Pertussis / Whooping Cough (</w:t>
        <w:br/>
        <w:t>Bordetella pertussis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cough illness lasting at least 2 weeks with one of the following: paroxysms of coughing, inspiratory "whoop," or post-tussive vomiting -- and without other apparent cause (as reported by a health professional)</w:t>
        <w:br/>
        <w:t>Laboratory Criteria For Diagnosis</w:t>
        <w:br/>
        <w:t>Isolation of</w:t>
        <w:br/>
        <w:t>Bordetella pertussis</w:t>
        <w:br/>
        <w:t>from clinical specimen</w:t>
        <w:br/>
        <w:t>Case Classification</w:t>
        <w:br/>
        <w:t>Probable</w:t>
        <w:br/>
        <w:t>Meets the clinical case definition, is not laboratory confirmed, and is not epidemiologically linked to a laboratory-confirmed case</w:t>
        <w:br/>
        <w:t>Confirmed</w:t>
        <w:br/>
        <w:t>A clinically compatible case that is laboratory confirmed or epidemiologically linked to a laboratory-confirmed case</w:t>
        <w:br/>
        <w:t>Comments</w:t>
        <w:br/>
        <w:t>The clinical case definition above is appropriate for endemic or sporadic cases. In outbreak settings, a case may be defined as a cough illness lasting at least 2 weeks (as reported by a health professional). Because direct fluorescent antibody testing of nasopharyngeal secretions has been shown in some studies to have low sensitivity and variable specificity, it should not be relied on as a criterion for laboratory confirmation.</w:t>
        <w:br/>
        <w:t>1,2</w:t>
        <w:br/>
        <w:t>Both probable and confirmed cases should be reported to the National Notifiable Diseases Surveillance System (NNDSS).</w:t>
        <w:br/>
        <w:t>References</w:t>
        <w:br/>
        <w:t>Broome CV, Fraser DW, English WJ. Pertussis--diagnostic methods and surveillance. In: Manclark CR, Hill JC, eds. International Symposium on Pertussis. Bethesda, MD: US Department of Health, Education, and Welfare, Public Health Service, National Institutes of Health, 1979; DHEW publication no. (NIH)79-1830:19-22.</w:t>
        <w:br/>
        <w:t>Halperin SA, Bortolussi R, Wort AJ. Evaluation of culture, immunofluorescence, and serology for the diagnosis of pertussis. J Clin Microbiol 1989;27:752-7.</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1996 Case Definition</w:t>
        <w:br/>
        <w:t>Pertussis / Whooping Cough (</w:t>
        <w:br/>
        <w:t>Bordetella pertussis</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