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https://ndc.services.cdc.gov/case-definitions/rabies-human-2010/</w:t>
      </w:r>
    </w:p>
    <w:p>
      <w:r>
        <w:t>Rabies, Human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Rabies, Human</w:t>
        <w:br/>
        <w:t>2010 Case Definition</w:t>
        <w:br/>
        <w:t>Rabies, Human</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09-ID-70</w:t>
        <w:br/>
        <w:t>Clinical Description</w:t>
        <w:br/>
        <w:t>Rabies is an acute encephalomyelitis that almost always progresses to coma or death within 10 days after the first symptom.</w:t>
        <w:br/>
        <w:t>Laboratory Criteria For Diagnosis</w:t>
        <w:br/>
        <w:t>Detection by direct fluorescent antibody of viral antigens in a clinical specimen (preferably the brain or the nerves surrounding hair follicles in the nape of the neck),</w:t>
        <w:br/>
        <w:t>OR</w:t>
        <w:br/>
        <w:t>Isolation (in cell culture or in a laboratory animal) of rabies virus from saliva, cerebrospinal fluid (CSF), or central nervous system tissue,</w:t>
        <w:br/>
        <w:t>OR</w:t>
        <w:br/>
        <w:t>Identification of a rabies-neutralizing antibody titer greater than or equal to 5 (complete neutralization) in CSF,</w:t>
        <w:br/>
        <w:t>OR</w:t>
        <w:br/>
        <w:t>Identification of a rabies-neutralizing antibody titer greater than or equal to 5 (complete neutralization) in the serum of an unvaccinated person.</w:t>
        <w:br/>
        <w:t>Case Classification</w:t>
        <w:br/>
        <w:t>Confirmed</w:t>
        <w:br/>
        <w:t>A clinically compatible case that is laboratory confirmed</w:t>
        <w:br/>
        <w:t>Comments</w:t>
        <w:br/>
        <w:t>Laboratory confirmation by all of the above methods is strongly recommended.</w:t>
        <w:br/>
        <w:t>Related Case Definition(s)</w:t>
        <w:br/>
        <w:t>Rabies, Human | 2011 Case Definition</w:t>
        <w:br/>
        <w:t>Rabies, Human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