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https://ndc.services.cdc.gov/case-definitions/spinal-cord-injury-1990/</w:t>
      </w:r>
    </w:p>
    <w:p>
      <w:r>
        <w:t>Spinal Cord Injury 1990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Spinal Cord Injury</w:t>
        <w:br/>
        <w:t>1990 Case Definition</w:t>
        <w:br/>
        <w:t>Spinal Cord Injury</w:t>
        <w:br/>
        <w:t>1990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An acute traumatic lesion of the neural elements in the spinal canal, resulting in temporary or permanent sensory deficit, motor deficit, or bowel/bladder dysfunction</w:t>
        <w:br/>
        <w:t>Case Classification</w:t>
        <w:br/>
        <w:t>Confirmed</w:t>
        <w:br/>
        <w:t>A case that meets the clinical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