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https://ndc.services.cdc.gov/case-definitions/streptococcus-disease-invasive-group-a-1995/</w:t>
      </w:r>
    </w:p>
    <w:p>
      <w:r>
        <w:t>Streptococcus Disease, Invasive, Group A (GAS) (Streptococcus pyogenes) 1995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Streptococcus Disease, Invasive, Group A (GAS) (</w:t>
        <w:br/>
        <w:t>Streptococcus pyogenes</w:t>
        <w:br/>
        <w:t>)</w:t>
        <w:br/>
        <w:t>1995 Case Definition</w:t>
        <w:br/>
        <w:t>Streptococcus Disease, Invasive, Group A (GAS) (</w:t>
        <w:br/>
        <w:t>Streptococcus pyogenes</w:t>
        <w:br/>
        <w:t>)</w:t>
        <w:br/>
        <w:t>1995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Invasive group A streptococcal infections may manifest as any of several clinical syndromes, including pneumonia, bacteremia in association with cutaneous infection (e.g., cellulitis, erysipelas, or infection of a surgical or nonsurgical wound), deep soft-tissue infection (e.g., myositis or necrotizing fasciitis), meningitis, peritonitis, osteomyelitis, septic arthritis, postpartum sepsis (i.e., puerperal fever), neonatal sepsis, and nonfocal bacteremia.</w:t>
        <w:br/>
        <w:t>Laboratory Criteria For Diagnosis</w:t>
        <w:br/>
        <w:t>Isolation of group A</w:t>
        <w:br/>
        <w:t>Streptococcus</w:t>
        <w:br/>
        <w:t>(</w:t>
        <w:br/>
        <w:t>Streptococcus pyogenes</w:t>
        <w:br/>
        <w:t>) by culture from a normally sterile site (e.g., blood or cerebrospinal fluid, or, less commonly, joint, pleural, or pericardial fluid)</w:t>
        <w:br/>
        <w:t>Case Classification</w:t>
        <w:br/>
        <w:t>Confirmed</w:t>
        <w:br/>
        <w:t>A case that is laboratory confirmed</w:t>
        <w:br/>
        <w:t>Comments</w:t>
        <w:br/>
        <w:t>The 1995 case definition appearing on this page was later re-published in the 1997</w:t>
        <w:br/>
        <w:t>MMWR</w:t>
        <w:br/>
        <w:t>Recommendations and Reports titled</w:t>
        <w:br/>
        <w:t>Case Definitions for Infectious Conditions Under Public Health Surveillance</w:t>
        <w:br/>
        <w:t>.</w:t>
        <w:br/>
        <w:t>1</w:t>
        <w:br/>
        <w:t>Thus, the 1995 and 1997 versions of this case definition are identical.</w:t>
        <w:br/>
        <w:t>References</w:t>
        <w:br/>
        <w:t>CDC. (1997). Case Definitions for Infectious Conditions Under Public Health Surveillance.</w:t>
        <w:br/>
        <w:t>MMWR</w:t>
        <w:br/>
        <w:t>, 46(RR-10), 1-55.</w:t>
        <w:br/>
        <w:t>https://www.cdc.gov/mmwr/preview/mmwrhtml/00047449.htm</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