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https://ndc.services.cdc.gov/case-definitions/tularemia-2017/</w:t>
      </w:r>
    </w:p>
    <w:p>
      <w:r>
        <w:t>Tularemia (Francisella tularensis) 2017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Tularemia (</w:t>
        <w:br/>
        <w:t>Francisella tularensis</w:t>
        <w:br/>
        <w:t>)</w:t>
        <w:br/>
        <w:t>2017 Case Definition</w:t>
        <w:br/>
        <w:t>Tularemia (</w:t>
        <w:br/>
        <w:t>Francisella tularensis</w:t>
        <w:br/>
        <w:t>)</w:t>
        <w:br/>
        <w:t>2017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16-ID-11</w:t>
        <w:br/>
        <w:t>Clinical Criteria</w:t>
        <w:br/>
        <w:t>An illness characterized by several distinct forms, including the following:</w:t>
        <w:br/>
        <w:t>Ulceroglandular: cutaneous ulcer with regional lymphadenopathy</w:t>
        <w:br/>
        <w:t>Glandular: regional lymphadenopathy with no ulcer</w:t>
        <w:br/>
        <w:t>Oculoglandular: conjunctivitis with preauricular lymphadenopathy</w:t>
        <w:br/>
        <w:t>Oropharyngeal: stomatitis or pharyngitis or tonsillitis and cervical lymphadenopathy</w:t>
        <w:br/>
        <w:t>Pneumonic: primary pulmonary disease</w:t>
        <w:br/>
        <w:t>Typhoidal: febrile illness without localizing signs and symptoms</w:t>
        <w:br/>
        <w:t>Laboratory Criteria For Diagnosis</w:t>
        <w:br/>
        <w:t>Supportive</w:t>
        <w:br/>
        <w:t>Elevated serum antibody titer(s) to</w:t>
        <w:br/>
        <w:t>F. tularensis</w:t>
        <w:br/>
        <w:t>antigen (without documented fourfold or greater change) in a patient with no history of</w:t>
        <w:br/>
        <w:t>tularemia vaccination,</w:t>
        <w:br/>
        <w:t>OR</w:t>
        <w:br/>
        <w:t>Detection of</w:t>
        <w:br/>
        <w:t>F. tularensis</w:t>
        <w:br/>
        <w:t>in a clinical or autopsy specimen by fluorescent assay,</w:t>
        <w:br/>
        <w:t>OR</w:t>
        <w:br/>
        <w:t>Detection of</w:t>
        <w:br/>
        <w:t>F. tularensis</w:t>
        <w:br/>
        <w:t>in a clinical or autopsy specimen by a polymerase chain reaction (PCR)</w:t>
        <w:br/>
        <w:t>Confirmatory</w:t>
        <w:br/>
        <w:t>Isolation of</w:t>
        <w:br/>
        <w:t>F. tularensis</w:t>
        <w:br/>
        <w:t>in a clinical or autopsy specimen,</w:t>
        <w:br/>
        <w:t>OR</w:t>
        <w:br/>
        <w:t>Fourfold or greater change in serum antibody titer to</w:t>
        <w:br/>
        <w:t>F. tularensis</w:t>
        <w:br/>
        <w:t>antigen between acute and convalescent specimens</w:t>
        <w:br/>
        <w:t>Epidemiologic Linkage</w:t>
        <w:br/>
        <w:t>Clinical diagnosis is supported by evidence or history of a tick or deerfly bite, exposure to tissues of a mammalian host of</w:t>
        <w:br/>
        <w:t>F. tularensis</w:t>
        <w:br/>
        <w:t>,</w:t>
        <w:br/>
        <w:t>including via an animal bite, or exposure to potentially contaminated water.</w:t>
        <w:br/>
        <w:t>Criteria to Distinguish a New Case from an Existing Case</w:t>
        <w:br/>
        <w:t>Serial or subsequent cases of tularemia experienced by one individual should only be counted if there is an additional epidemiologically compatible</w:t>
        <w:br/>
        <w:t>exposure and new onset of symptoms. Because the duration of antibodies to</w:t>
        <w:br/>
        <w:t>F. tularensis</w:t>
        <w:br/>
        <w:t>is not known, mere presence of antibodies without a</w:t>
        <w:br/>
        <w:t>clinically-compatible illness</w:t>
        <w:br/>
        <w:t>AND</w:t>
        <w:br/>
        <w:t>an epidemiologically compatible exposure within 12 months of onset may not indicate a new infection,</w:t>
        <w:br/>
        <w:t>especially among persons who live in endemic areas.</w:t>
        <w:br/>
        <w:t>Case Classification</w:t>
        <w:br/>
        <w:t>Probable</w:t>
        <w:br/>
        <w:t>A clinically-compatible case with supportive laboratory evidence.</w:t>
        <w:br/>
        <w:t>Confirmed</w:t>
        <w:br/>
        <w:t>A clinically-compatible case with confirmatory laboratory evidence.</w:t>
        <w:br/>
        <w:t>Related Case Definition(s)</w:t>
        <w:br/>
        <w:t>Tularemia (</w:t>
        <w:br/>
        <w:t>Francisella tularensis</w:t>
        <w:br/>
        <w:t>) | 1999 Case Definition</w:t>
        <w:br/>
        <w:t>Tularemia (</w:t>
        <w:br/>
        <w:t>Francisella tularensis</w:t>
        <w:br/>
        <w:t>) | 1996 Case Definition</w:t>
        <w:br/>
        <w:t>Tularemia (</w:t>
        <w:br/>
        <w:t>Francisella tularensis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