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https://ndc.services.cdc.gov/case-definitions/vancomycin-intermediate-staphylococcus-aureus-and-vancomycin-resistant-staphylococcus-aureus-2004/</w:t>
      </w:r>
    </w:p>
    <w:p>
      <w:r>
        <w:t>Vancomycin-intermediate Staphylococcus Aureus and Vancomycin-resistant Staphylococcus Aureus (VISA/VRSA) 2004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Vancomycin-intermediate</w:t>
        <w:br/>
        <w:t>Staphylococcus Aureus</w:t>
        <w:br/>
        <w:t>and Vancomycin-resistant</w:t>
        <w:br/>
        <w:t>Staphylococcus Aureus</w:t>
        <w:br/>
        <w:t>(VISA/VRSA)</w:t>
        <w:br/>
        <w:t>2004 Case Definition</w:t>
        <w:br/>
        <w:t>Vancomycin-intermediate</w:t>
        <w:br/>
        <w:t>Staphylococcus Aureus</w:t>
        <w:br/>
        <w:t>and Vancomycin-resistant</w:t>
        <w:br/>
        <w:t>Staphylococcus Aureus</w:t>
        <w:br/>
        <w:t>(VISA/VRSA)</w:t>
        <w:br/>
        <w:t>2004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Staphylococcus aureus</w:t>
        <w:br/>
        <w:t>can produce a variety of syndromes with clinical manifestations including skin and soft tissue lesions, empyema, pyarthrosis, bloodstream infection, pneumonia, osteomyelitis, septic arthritis, endocarditis, sepsis, and meningitis.</w:t>
        <w:br/>
        <w:t>Laboratory Criteria For Diagnosis</w:t>
        <w:br/>
        <w:t>Isolation of</w:t>
        <w:br/>
        <w:t>S. aureus</w:t>
        <w:br/>
        <w:t>from any body site.</w:t>
        <w:br/>
        <w:t>AND</w:t>
        <w:br/>
        <w:t>Intermediate or high-level resistance of the</w:t>
        <w:br/>
        <w:t>S. aureus</w:t>
        <w:br/>
        <w:t>isolate to vancomycin, detected and defined according to NCCLS* approved standards and recommendations (MIC: 8-16 µg/ml for VISA and MIC:≥32 µg/ml for VRSA).</w:t>
        <w:br/>
        <w:t>Case Classification</w:t>
        <w:br/>
        <w:t>Confirmed</w:t>
        <w:br/>
        <w:t>A clinically compatible case of vancomycin-intermediate or vancomycin-resistant</w:t>
        <w:br/>
        <w:t>S. aureus</w:t>
        <w:br/>
        <w:t>that is laboratory-confirmed (MIC: 8-16 µg/ml for VISA and MIC: ≥32 µg/ml for VRSA).</w:t>
        <w:br/>
        <w:t>Comments</w:t>
        <w:br/>
        <w:t>Data to be collected: A standardized data collection form should be used for all reported vancomycin-intermediate or vancomycin-resistant</w:t>
        <w:br/>
        <w:t>S. aureus</w:t>
        <w:br/>
        <w:t>through the National Notifiable Diseases Surveillance System.</w:t>
        <w:br/>
        <w:t>* National Committee for Clinical Laboratory Standards</w:t>
        <w:br/>
        <w:t>References</w:t>
        <w:br/>
        <w:t>NCCLS. (2003) Methods for dilution antimicrobial susceptibility tests for bacteria that grow aerobically; Approved standard 6th ed., vol. 23, No. 2. Approved standard M7-A5. NCCLS, Wayne, Pa.</w:t>
        <w:br/>
        <w:t>NCCLS. (2003) Performance standards for antimicrobial susceptibility testing; Thirteenth informational supplement M100-S13 (M7). NCCLS, Wayne, Pa.</w:t>
        <w:br/>
        <w:t>Related Case Definition(s)</w:t>
        <w:br/>
        <w:t>Vancomycin-intermediate</w:t>
        <w:br/>
        <w:t>Staphylococcus Aureus</w:t>
        <w:br/>
        <w:t>and Vancomycin-resistant</w:t>
        <w:br/>
        <w:t>Staphylococcus Aureus</w:t>
        <w:br/>
        <w:t>(VISA/VRSA) | 2007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