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https://ndc.services.cdc.gov/case-definitions/vibriosis-2017/</w:t>
      </w:r>
    </w:p>
    <w:p>
      <w:r>
        <w:t>Vibriosis (any species of the family Vibrionaceae, other than toxigenic Vibrio cholerae O1 or O139) 2017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Vibriosis (any species of the family</w:t>
        <w:br/>
        <w:t>Vibrionaceae</w:t>
        <w:br/>
        <w:t>, other than toxigenic</w:t>
        <w:br/>
        <w:t>Vibrio cholerae</w:t>
        <w:br/>
        <w:t>O1 or O139)</w:t>
        <w:br/>
        <w:t>2017 Case Definition</w:t>
        <w:br/>
        <w:t>Vibriosis (any species of the family</w:t>
        <w:br/>
        <w:t>Vibrionaceae</w:t>
        <w:br/>
        <w:t>, other than toxigenic</w:t>
        <w:br/>
        <w:t>Vibrio cholerae</w:t>
        <w:br/>
        <w:t>O1 or O139)</w:t>
        <w:br/>
        <w:t>2017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16-ID-05</w:t>
        <w:br/>
        <w:t>Background</w:t>
        <w:br/>
        <w:t>Vibriosis is an under-recognized and under-reported cause of human illness. Vibriosis is caused by infection with pathogenic species of the family</w:t>
        <w:br/>
        <w:t>Vibrionaceae</w:t>
        <w:br/>
        <w:t>(species other than toxigenic</w:t>
        <w:br/>
        <w:t>Vibrio cholerae</w:t>
        <w:br/>
        <w:t>O1 and O139, which cause cholera). These pathogens typically cause</w:t>
        <w:br/>
        <w:t>gastrointestinal illness with watery diarrhea that can range in severity from mild to severe. They may also cause bacteremia, wound infections, or other</w:t>
        <w:br/>
        <w:t>extra-intestinal infections. The most common mode of transmission is consumption of raw or undercooked seafood; raw oysters are the most frequent source.</w:t>
        <w:br/>
        <w:t>Transmission can also occur through contact with water, especially seawater. Persons with liver diseases, cirrhosis, iron storage disorders, immune</w:t>
        <w:br/>
        <w:t>suppression, malignancies, and alcoholism are at particularly high risk of serious infection. Surveillance is needed to better define the burden of</w:t>
        <w:br/>
        <w:t>disease, identify and control outbreaks, as well as define and evaluate prevention strategies.</w:t>
        <w:br/>
        <w:t>Vibrio</w:t>
        <w:br/>
        <w:t>species are included in several of the commercially available multiplex PCR panels, so it is possible that more laboratories will routinely test for</w:t>
        <w:br/>
        <w:t>Vibrio</w:t>
        <w:br/>
        <w:t>in stool specimens and more laboratory-diagnosed cases will be reported to public health. The sensitivity and specificity of these new</w:t>
        <w:br/>
        <w:t>tests is not yet known, in large part because these infections are rare. Further, as with other enteric bacterial pathogens, reflexive culture of specimens</w:t>
        <w:br/>
        <w:t>with positive Culture-independent diagnostic testing (CIDT) results is not always performed at the clinical laboratory or the state or local public health</w:t>
        <w:br/>
        <w:t>laboratory. This increase in testing provides public health with an opportunity to learn more about the epidemiology of this family of organisms, but only if CIDT-positive as well as culture-confirmed cases are reported to public health.</w:t>
        <w:br/>
        <w:t>Clinical Criteria</w:t>
        <w:br/>
        <w:t>An infection of variable severity characterized by watery diarrhea, primary septicemia, or wound infection. Asymptomatic infections may occur, and the</w:t>
        <w:br/>
        <w:t>organism may cause extra-intestinal infection.</w:t>
        <w:br/>
        <w:t>Laboratory Criteria For Diagnosis</w:t>
        <w:br/>
        <w:t>Supportive laboratory evidence: Detection of a species of the family</w:t>
        <w:br/>
        <w:t>Vibrionaceae</w:t>
        <w:br/>
        <w:t>(other than toxigenic</w:t>
        <w:br/>
        <w:t>Vibrio cholerae</w:t>
        <w:br/>
        <w:t>O1 or O139, which</w:t>
        <w:br/>
        <w:t>are reportable as cholera) from a clinical specimen using a culture-independent diagnostic test.</w:t>
        <w:br/>
        <w:t>Confirmatory laboratory evidence: Isolation of a species of the family</w:t>
        <w:br/>
        <w:t>Vibrionaceae</w:t>
        <w:br/>
        <w:t>(other than toxigenic</w:t>
        <w:br/>
        <w:t>Vibrio cholerae</w:t>
        <w:br/>
        <w:t>O1 or O139,</w:t>
        <w:br/>
        <w:t>which are reportable as cholera) from a clinical specimen.</w:t>
        <w:br/>
        <w:t>Epidemiologic Linkage</w:t>
        <w:br/>
        <w:t>A clinically compatible case that is epidemiologically linked to a case that meets the supportive or confirmatory laboratory criteria for diagnosis.</w:t>
        <w:br/>
        <w:t>Criteria to Distinguish a New Case from an Existing Case</w:t>
        <w:br/>
        <w:t>A case should not be counted as a new case if laboratory results were reported within 30 days of a previously reported infection in the same individual.</w:t>
        <w:br/>
        <w:t>When two or more different species of the family</w:t>
        <w:br/>
        <w:t>Vibrionaceae</w:t>
        <w:br/>
        <w:t>are identified in one or more specimens from the same individual, each should be</w:t>
        <w:br/>
        <w:t>reported as a separate case.</w:t>
        <w:br/>
        <w:t>Comment:</w:t>
        <w:br/>
        <w:t>The use of CIDTs as stand-alone tests for the direct detection of</w:t>
        <w:br/>
        <w:t>Vibrio</w:t>
        <w:br/>
        <w:t>in stool is increasing. Specific performance characteristics such as sensitivity, specificity, and positive predictive value of these assays likely depend on the manufacturer and</w:t>
        <w:br/>
        <w:t>are currently unknown. It is therefore useful to collect information on the type(s) of testing performed for reported vibriosis cases. When a specimen is</w:t>
        <w:br/>
        <w:t>positive using a CIDT it is also helpful to collect information on all culture results for the specimen, even if those results are negative. Culture</w:t>
        <w:br/>
        <w:t>confirmation of CIDT positive specimens is ideal, although it might not be practical in all instances. State and local public health agencies should make</w:t>
        <w:br/>
        <w:t>efforts to encourage reflexive culturing by clinical laboratories that adopt culture-independent methods, should facilitate submission of isolates/clinical</w:t>
        <w:br/>
        <w:t>material to state public health laboratories, and should be prepared to perform reflexive culture when not performed at the clinical laboratory as isolates</w:t>
        <w:br/>
        <w:t>are currently necessary for serogrouping and cholera toxin testing as well as biotype and antimicrobial susceptibility testing.</w:t>
        <w:br/>
        <w:t>CDC requests that</w:t>
        <w:br/>
        <w:t>Vibrio</w:t>
        <w:br/>
        <w:t>isolates be forwarded to the Enteric Diseases Laboratory Branch (EDLB) per the isolate submission memo and table found at</w:t>
        <w:br/>
        <w:t>https://www.cdc.gov/ncezid/dfwed/edlb/additional.html</w:t>
        <w:br/>
        <w:t>. EDLB (specifically the Epidemic Investigations Laboratory) requests that state public health labs</w:t>
        <w:br/>
        <w:t>immediately forward all suspect V. cholerae isolates.</w:t>
        <w:br/>
        <w:t>In addition to reporting through the National Notifiable Diseases Surveillance System (NNDSS), CDC requests that states collect and report the information</w:t>
        <w:br/>
        <w:t>for cases on the standard form for Cholera and Other</w:t>
        <w:br/>
        <w:t>Vibrio</w:t>
        <w:br/>
        <w:t>Illness Surveillance (COVIS), available at:</w:t>
        <w:br/>
        <w:t>https://www.cdc.gov/nationalsurveillance/cholera_vibrio_surveillance.html</w:t>
        <w:br/>
        <w:t>. One COVIS case report form should be submitted for each patient, and include all</w:t>
        <w:br/>
        <w:t>supportive and confirmatory laboratory evidence related to the individual. CDC intends to integrate the COVIS form into the National Electronic Diseases</w:t>
        <w:br/>
        <w:t>Surveillance System (NEDSS) in the future. Reporting sites should use the COVIS reporting form until the integration is successfully implemented.</w:t>
        <w:br/>
        <w:t>Case Classification</w:t>
        <w:br/>
        <w:t>Probable</w:t>
        <w:br/>
        <w:t>A case that meets the supportive laboratory criteria for diagnosis, or a clinically compatible case that is epidemiologically linked to a case that meets</w:t>
        <w:br/>
        <w:t>the supportive or confirmatory laboratory criteria for diagnosis.</w:t>
        <w:br/>
        <w:t>Confirmed</w:t>
        <w:br/>
        <w:t>A case that meets the confirmed laboratory criteria for diagnosis.</w:t>
        <w:br/>
        <w:t>Related Case Definition(s)</w:t>
        <w:br/>
        <w:t>Vibriosis (any species of the family</w:t>
        <w:br/>
        <w:t>Vibrionaceae</w:t>
        <w:br/>
        <w:t>, other than toxigenic</w:t>
        <w:br/>
        <w:t>Vibrio cholerae</w:t>
        <w:br/>
        <w:t>O1 or O139) | 2012 Case Definition</w:t>
        <w:br/>
        <w:t>Vibriosis (any species of the family</w:t>
        <w:br/>
        <w:t>Vibrionaceae</w:t>
        <w:br/>
        <w:t>, other than toxigenic</w:t>
        <w:br/>
        <w:t>Vibrio cholerae</w:t>
        <w:br/>
        <w:t>O1 or O139) | 2007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