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https://ndc.services.cdc.gov/conditions/carbapenemase-producing-organisms-screening/</w:t>
      </w:r>
    </w:p>
    <w:p>
      <w:r>
        <w:t>Carbapenemase-producing organisms, screening|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2023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Carbapenemase-producing organisms, screening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2023</w:t>
        <w:br/>
        <w:t>Current</w:t>
        <w:br/>
        <w:t>Carbapenemase-Producing Organisms (CPO)</w:t>
        <w:br/>
        <w:t>2023</w:t>
        <w:br/>
        <w:t>Current</w:t>
        <w:br/>
        <w:t>Carbapenemase-producing organisms, clinical</w:t>
        <w:br/>
        <w:t>2023</w:t>
        <w:br/>
        <w:t>Current</w:t>
        <w:br/>
        <w:t>Carbapenemase-producing organisms, screening</w:t>
        <w:br/>
        <w:t>Case Definition(s)</w:t>
        <w:br/>
        <w:t>Carbapenemase-Producing Organisms (CPO) | 2023 Case Definition</w:t>
        <w:br/>
        <w:t>Related Condition(s)</w:t>
        <w:br/>
        <w:t>Carbapenemase-Producing Organisms (CPO)</w:t>
        <w:br/>
        <w:t>Carbapenemase-producing organisms, clinical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