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https://ndc.services.cdc.gov/conditions/coronavirus-disease-2019-covid-19/</w:t>
      </w:r>
    </w:p>
    <w:p>
      <w:r>
        <w:t>Coronavirus Disease 2019 (COVID-19)|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Coronavirus Disease 2019 (COVID-19)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2020</w:t>
        <w:br/>
        <w:t>Current</w:t>
        <w:br/>
        <w:t>Coronavirus Disease 2019 (COVID-19)</w:t>
        <w:br/>
        <w:t>2020</w:t>
        <w:br/>
        <w:t>2024</w:t>
        <w:br/>
        <w:t>Coronavirus Disease 2019 (COVID-19)</w:t>
        <w:br/>
        <w:t>Case Definition(s)</w:t>
        <w:br/>
        <w:t>Coronavirus Disease 2019 (COVID-19) | 2025 Case Definition</w:t>
        <w:br/>
        <w:t>Coronavirus Disease 2019 (COVID-19) | 2023 Case Definition</w:t>
        <w:br/>
        <w:t>Coronavirus Disease 2019 (COVID-19) | 2021 Case Definition</w:t>
        <w:br/>
        <w:t>Coronavirus Disease 2019 (COVID-19) | 2020 Interim Case Definition, Approved August 5, 2020</w:t>
        <w:br/>
        <w:t>Coronavirus Disease 2019 (COVID-19) | 2020 Interim Case Definition, Approved April 5, 2020</w:t>
        <w:br/>
        <w:t>Related Condition(s)</w:t>
        <w:br/>
        <w:t>Multisystem inflammatory syndrome in children (MIS-C) associated with SARS-CoV-2 infection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