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https://ndc.services.cdc.gov/conditions/escherichia-coli-o157h7/</w:t>
      </w:r>
    </w:p>
    <w:p>
      <w:r>
        <w:t>Escherichia Coli O157:H7 / E. Coli O157:H7|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Escherichia Coli</w:t>
        <w:br/>
        <w:t>O157:H7 /</w:t>
        <w:br/>
        <w:t>E. Coli</w:t>
        <w:br/>
        <w:t>O157:H7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2000</w:t>
        <w:br/>
        <w:t>Escherichia coli</w:t>
        <w:br/>
        <w:t>O157:H7</w:t>
        <w:br/>
        <w:t>Case Definition(s)</w:t>
        <w:br/>
        <w:t>Escherichia Coli</w:t>
        <w:br/>
        <w:t>O157:H7 /</w:t>
        <w:br/>
        <w:t>E. coli</w:t>
        <w:br/>
        <w:t>O157:H7 | 1995 Case Definition</w:t>
        <w:br/>
        <w:t>Related Condition(s)</w:t>
        <w:br/>
        <w:t>Enterohemorrhagic</w:t>
        <w:br/>
        <w:t>Escherichia coli</w:t>
        <w:br/>
        <w:t>Shiga toxin-producing</w:t>
        <w:br/>
        <w:t>Escherichia coli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