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https://ndc.services.cdc.gov/conditions/hepatitis-b-chronic-v2/</w:t>
      </w:r>
    </w:p>
    <w:p>
      <w:r>
        <w:t>Hepatitis B, chronic|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B, chronic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Hepatitis B, acute and chronic</w:t>
        <w:br/>
        <w:t>2024</w:t>
        <w:br/>
        <w:t>Current</w:t>
        <w:br/>
        <w:t>Hepatitis B, acute</w:t>
        <w:br/>
        <w:t>2024</w:t>
        <w:br/>
        <w:t>Current</w:t>
        <w:br/>
        <w:t>Hepatitis B, chronic</w:t>
        <w:br/>
        <w:t>Case Definition(s)</w:t>
        <w:br/>
        <w:t>Hepatitis B, acute and chronic | 2024 Case Definition</w:t>
        <w:br/>
        <w:t>Related Condition(s)</w:t>
        <w:br/>
        <w:t>Hepatitis A, acute</w:t>
        <w:br/>
        <w:t>Hepatitis B, acute (historical version)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