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https://ndc.services.cdc.gov/conditions/lead-elevated-blood-levels-adult/</w:t>
      </w:r>
    </w:p>
    <w:p>
      <w:r>
        <w:t>Lead, Elevated Blood Levels, Adult (≥16 Years)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Lead, Elevated Blood Levels, Adult (≥16 Years)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Lead, elevated blood levels</w:t>
        <w:br/>
        <w:t>2010</w:t>
        <w:br/>
        <w:t>Current</w:t>
        <w:br/>
        <w:t>Lead, elevated blood levels, adult (≥16 Years)</w:t>
        <w:br/>
        <w:t>2010</w:t>
        <w:br/>
        <w:t>Current</w:t>
        <w:br/>
        <w:t>Lead, elevated blood levels, children (&lt;16 Years)</w:t>
        <w:br/>
        <w:t>Case Definition(s)</w:t>
        <w:br/>
        <w:t>Lead, Elevated Blood Levels | 2016 Case Definition</w:t>
        <w:br/>
        <w:t>Lead, Elevated Blood Levels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