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https://ndc.services.cdc.gov/conditions/rubella-congenital-syndrome/</w:t>
      </w:r>
    </w:p>
    <w:p>
      <w:r>
        <w:t>Rubella, Congenital Syndrome (CRS)|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Rubella, Congenital Syndrome (CRS)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1966</w:t>
        <w:br/>
        <w:t>Current</w:t>
        <w:br/>
        <w:t>Rubella, congenital syndrome</w:t>
        <w:br/>
        <w:t>Case Definition(s)</w:t>
        <w:br/>
        <w:t>Rubella, Congenital Syndrome (CRS) | 2010 Case Definition</w:t>
        <w:br/>
        <w:t>Rubella, Congenital Syndrome (CRS) | 2007 Case Definition</w:t>
        <w:br/>
        <w:t>Rubella, Congenital Syndrome (CRS) | 1999 Case Definition</w:t>
        <w:br/>
        <w:t>Rubella, Congenital Syndrome (CRS) | 1996 Case Definition</w:t>
        <w:br/>
        <w:t>Rubella, Congenital Syndrome (CRS) | 1990 Case Definition</w:t>
        <w:br/>
        <w:t>Related Condition(s)</w:t>
        <w:br/>
        <w:t>Rubella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